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400C4" w14:textId="3434B42B" w:rsidR="00E34216" w:rsidRDefault="00000000">
      <w:pPr>
        <w:spacing w:after="80"/>
      </w:pPr>
      <w:r>
        <w:rPr>
          <w:b/>
          <w:bCs/>
          <w:color w:val="185FA5"/>
          <w:sz w:val="18"/>
          <w:szCs w:val="18"/>
        </w:rPr>
        <w:t xml:space="preserve">FOR IMMEDIATE RELEASE  ·  JUNE </w:t>
      </w:r>
      <w:r w:rsidR="00FA2D8C">
        <w:rPr>
          <w:b/>
          <w:bCs/>
          <w:color w:val="185FA5"/>
          <w:sz w:val="18"/>
          <w:szCs w:val="18"/>
        </w:rPr>
        <w:t>5</w:t>
      </w:r>
      <w:r>
        <w:rPr>
          <w:b/>
          <w:bCs/>
          <w:color w:val="185FA5"/>
          <w:sz w:val="18"/>
          <w:szCs w:val="18"/>
        </w:rPr>
        <w:t>, 2026</w:t>
      </w:r>
    </w:p>
    <w:p w14:paraId="709E3DAF" w14:textId="77777777" w:rsidR="00E34216" w:rsidRDefault="00000000">
      <w:pPr>
        <w:spacing w:after="40"/>
      </w:pPr>
      <w:r>
        <w:rPr>
          <w:b/>
          <w:bCs/>
          <w:color w:val="1A1A1A"/>
          <w:sz w:val="52"/>
          <w:szCs w:val="52"/>
        </w:rPr>
        <w:t>Xvaluator QuAI</w:t>
      </w:r>
    </w:p>
    <w:p w14:paraId="01B164BB" w14:textId="77777777" w:rsidR="00E34216" w:rsidRDefault="00000000">
      <w:pPr>
        <w:spacing w:after="60"/>
      </w:pPr>
      <w:r>
        <w:rPr>
          <w:rFonts w:ascii="Georgia" w:eastAsia="Georgia" w:hAnsi="Georgia" w:cs="Georgia"/>
          <w:i/>
          <w:iCs/>
          <w:color w:val="888780"/>
          <w:sz w:val="24"/>
          <w:szCs w:val="24"/>
        </w:rPr>
        <w:t>Made in France · Made in Europe — La Révolution Souveraine de l’IA</w:t>
      </w:r>
    </w:p>
    <w:p w14:paraId="0D71FAAE" w14:textId="77777777" w:rsidR="00E34216" w:rsidRDefault="00000000">
      <w:pPr>
        <w:spacing w:after="40"/>
      </w:pPr>
      <w:r>
        <w:rPr>
          <w:color w:val="888780"/>
          <w:sz w:val="18"/>
          <w:szCs w:val="18"/>
        </w:rPr>
        <w:t>Founded Dec. 1, 2015  ·  Patent FR1657516 · 2019  ·  Issy-les-Moulineaux, France</w:t>
      </w:r>
    </w:p>
    <w:p w14:paraId="68AAA726" w14:textId="35E2EDF8" w:rsidR="00E34216" w:rsidRDefault="00000000">
      <w:pPr>
        <w:spacing w:before="80" w:after="80"/>
      </w:pPr>
      <w:r>
        <w:rPr>
          <w:b/>
          <w:bCs/>
          <w:color w:val="0C447C"/>
          <w:sz w:val="18"/>
          <w:szCs w:val="18"/>
        </w:rPr>
        <w:t>Valuation &gt;€300M — Audit</w:t>
      </w:r>
      <w:r w:rsidR="008A0D0C">
        <w:rPr>
          <w:b/>
          <w:bCs/>
          <w:color w:val="0C447C"/>
          <w:sz w:val="18"/>
          <w:szCs w:val="18"/>
        </w:rPr>
        <w:t xml:space="preserve"> A.Kaiser</w:t>
      </w:r>
      <w:r>
        <w:rPr>
          <w:b/>
          <w:bCs/>
          <w:color w:val="0C447C"/>
          <w:sz w:val="18"/>
          <w:szCs w:val="18"/>
        </w:rPr>
        <w:t>, Paris 202</w:t>
      </w:r>
      <w:r w:rsidR="008A0D0C">
        <w:rPr>
          <w:b/>
          <w:bCs/>
          <w:color w:val="0C447C"/>
          <w:sz w:val="18"/>
          <w:szCs w:val="18"/>
        </w:rPr>
        <w:t>6</w:t>
      </w:r>
      <w:r>
        <w:rPr>
          <w:color w:val="888780"/>
          <w:sz w:val="18"/>
          <w:szCs w:val="18"/>
        </w:rPr>
        <w:t xml:space="preserve">  ·  </w:t>
      </w:r>
      <w:r>
        <w:rPr>
          <w:b/>
          <w:bCs/>
          <w:color w:val="0C447C"/>
          <w:sz w:val="18"/>
          <w:szCs w:val="18"/>
        </w:rPr>
        <w:t>10+ years R&amp;D</w:t>
      </w:r>
      <w:r>
        <w:rPr>
          <w:color w:val="888780"/>
          <w:sz w:val="18"/>
          <w:szCs w:val="18"/>
        </w:rPr>
        <w:t xml:space="preserve">  ·  </w:t>
      </w:r>
      <w:r>
        <w:rPr>
          <w:b/>
          <w:bCs/>
          <w:color w:val="0C447C"/>
          <w:sz w:val="18"/>
          <w:szCs w:val="18"/>
        </w:rPr>
        <w:t>3rd AI Paradigm — Cognitive Sciences</w:t>
      </w:r>
    </w:p>
    <w:p w14:paraId="75DB47A6" w14:textId="77777777" w:rsidR="00E34216" w:rsidRDefault="00000000">
      <w:pPr>
        <w:spacing w:before="80" w:after="80"/>
      </w:pPr>
      <w:r>
        <w:rPr>
          <w:b/>
          <w:bCs/>
          <w:color w:val="0C447C"/>
          <w:sz w:val="18"/>
          <w:szCs w:val="18"/>
        </w:rPr>
        <w:t>ACN Observatory 2026 — p. 74</w:t>
      </w:r>
      <w:r>
        <w:rPr>
          <w:color w:val="888780"/>
          <w:sz w:val="18"/>
          <w:szCs w:val="18"/>
        </w:rPr>
        <w:t xml:space="preserve">  ·  </w:t>
      </w:r>
      <w:r>
        <w:rPr>
          <w:b/>
          <w:bCs/>
          <w:color w:val="0C447C"/>
          <w:sz w:val="18"/>
          <w:szCs w:val="18"/>
        </w:rPr>
        <w:t>ISTE Open Science 2026</w:t>
      </w:r>
      <w:r>
        <w:rPr>
          <w:color w:val="888780"/>
          <w:sz w:val="18"/>
          <w:szCs w:val="18"/>
        </w:rPr>
        <w:t xml:space="preserve">  ·  </w:t>
      </w:r>
      <w:r>
        <w:rPr>
          <w:b/>
          <w:bCs/>
          <w:color w:val="0C447C"/>
          <w:sz w:val="18"/>
          <w:szCs w:val="18"/>
        </w:rPr>
        <w:t>Patent FR1657516</w:t>
      </w:r>
    </w:p>
    <w:p w14:paraId="7858AC41" w14:textId="77777777" w:rsidR="00E34216" w:rsidRDefault="00E34216">
      <w:pPr>
        <w:pBdr>
          <w:bottom w:val="single" w:sz="12" w:space="1" w:color="185FA5"/>
        </w:pBdr>
        <w:spacing w:before="60" w:after="120"/>
      </w:pPr>
    </w:p>
    <w:p w14:paraId="7CD52AAD" w14:textId="77777777" w:rsidR="00E34216" w:rsidRDefault="00000000">
      <w:pPr>
        <w:pStyle w:val="Heading1"/>
      </w:pPr>
      <w:r>
        <w:rPr>
          <w:sz w:val="40"/>
          <w:szCs w:val="40"/>
        </w:rPr>
        <w:t>“The Cybersecurity of the Future Will Be Built on Qualified Data — Or It Will Not Exist”</w:t>
      </w:r>
    </w:p>
    <w:p w14:paraId="18D332CD" w14:textId="77777777" w:rsidR="00E34216" w:rsidRDefault="00000000">
      <w:pPr>
        <w:spacing w:before="60" w:after="60"/>
        <w:jc w:val="both"/>
      </w:pPr>
      <w:r>
        <w:rPr>
          <w:color w:val="888780"/>
        </w:rPr>
        <w:t>Xvaluator QuAI cited in the ACN 2026 Trusted Digital Observatory (p. 74) and validated by a new ISTE Open Science chapter — France's sovereign deep-tech breakthrough positions Qualitative AI as the essential third layer of global artificial intelligence.</w:t>
      </w:r>
    </w:p>
    <w:p w14:paraId="79509100" w14:textId="77777777" w:rsidR="00E34216" w:rsidRDefault="00000000">
      <w:pPr>
        <w:spacing w:before="80" w:after="80"/>
        <w:rPr>
          <w:b/>
          <w:bCs/>
          <w:color w:val="888780"/>
          <w:sz w:val="20"/>
          <w:szCs w:val="20"/>
        </w:rPr>
      </w:pPr>
      <w:r>
        <w:rPr>
          <w:b/>
          <w:bCs/>
          <w:color w:val="888780"/>
          <w:sz w:val="20"/>
          <w:szCs w:val="20"/>
        </w:rPr>
        <w:t>Issy-les-Moulineaux, Grand Paris  ·  June 2026</w:t>
      </w:r>
    </w:p>
    <w:p w14:paraId="2D7BC05D" w14:textId="77777777" w:rsidR="00FB4814" w:rsidRDefault="00FB4814">
      <w:pPr>
        <w:spacing w:before="80" w:after="80"/>
        <w:rPr>
          <w:b/>
          <w:bCs/>
          <w:color w:val="888780"/>
          <w:sz w:val="20"/>
          <w:szCs w:val="20"/>
        </w:rPr>
      </w:pPr>
    </w:p>
    <w:p w14:paraId="7EE7F44E" w14:textId="3EA10F93" w:rsidR="00FB4814" w:rsidRDefault="00FB4814">
      <w:pPr>
        <w:spacing w:before="80" w:after="80"/>
        <w:rPr>
          <w:b/>
          <w:bCs/>
          <w:color w:val="888780"/>
          <w:sz w:val="20"/>
          <w:szCs w:val="20"/>
        </w:rPr>
      </w:pPr>
      <w:r>
        <w:rPr>
          <w:b/>
          <w:bCs/>
          <w:color w:val="888780"/>
          <w:sz w:val="20"/>
          <w:szCs w:val="20"/>
        </w:rPr>
        <w:t>“L’IA Qualificative Xvaluator : révolutionner la confiance numerique et écologique” janvier 2025</w:t>
      </w:r>
    </w:p>
    <w:p w14:paraId="6A319DD5" w14:textId="72B59F59" w:rsidR="00FB4814" w:rsidRDefault="00FB4814">
      <w:pPr>
        <w:spacing w:before="80" w:after="80"/>
      </w:pPr>
      <w:r>
        <w:t>(</w:t>
      </w:r>
      <w:hyperlink r:id="rId7" w:history="1">
        <w:r w:rsidRPr="0042661B">
          <w:rPr>
            <w:rStyle w:val="Hyperlink"/>
          </w:rPr>
          <w:t>https://sodigital.fr/xvaluator/</w:t>
        </w:r>
      </w:hyperlink>
      <w:r>
        <w:t>)</w:t>
      </w:r>
    </w:p>
    <w:p w14:paraId="22D7A57D" w14:textId="77777777" w:rsidR="00E34216" w:rsidRDefault="00E34216">
      <w:pPr>
        <w:pBdr>
          <w:bottom w:val="single" w:sz="6" w:space="1" w:color="CCCCCC"/>
        </w:pBdr>
        <w:spacing w:before="40" w:after="40"/>
      </w:pPr>
    </w:p>
    <w:p w14:paraId="45F462E2" w14:textId="77777777" w:rsidR="00E34216" w:rsidRDefault="00000000">
      <w:pPr>
        <w:spacing w:before="200" w:after="60"/>
      </w:pPr>
      <w:r>
        <w:rPr>
          <w:b/>
          <w:bCs/>
          <w:color w:val="185FA5"/>
          <w:sz w:val="18"/>
          <w:szCs w:val="18"/>
        </w:rPr>
        <w:t>1. CONTEXT</w:t>
      </w:r>
    </w:p>
    <w:p w14:paraId="4B8253F7" w14:textId="77777777" w:rsidR="00E34216" w:rsidRDefault="00000000">
      <w:pPr>
        <w:pStyle w:val="Heading2"/>
      </w:pPr>
      <w:r>
        <w:t>A Radically Different Answer to the AI Crisis of Trust</w:t>
      </w:r>
    </w:p>
    <w:p w14:paraId="61DBF8BB" w14:textId="77777777" w:rsidR="00E34216" w:rsidRDefault="00000000">
      <w:pPr>
        <w:spacing w:before="60" w:after="60"/>
        <w:jc w:val="both"/>
      </w:pPr>
      <w:r>
        <w:rPr>
          <w:color w:val="444441"/>
        </w:rPr>
        <w:t>In an ecosystem where OpenAI burns more than $27 billion per year and Anthropic has raised $72 billion with a deeply negative EBITDA, the race for large language models consumes colossal resources without addressing the core challenges of trust, ethics, and ecological footprint. A sovereign French innovation proposes a fundamentally different path: Xvaluator, and its Qualitative AI (QuAI) — a third category of artificial intelligence, patented in France in 2019 (FR1657516) and recognised by the international scientific community as a new paradigm in cognitive sciences.</w:t>
      </w:r>
    </w:p>
    <w:p w14:paraId="4EE1FB25" w14:textId="77777777" w:rsidR="00E34216" w:rsidRDefault="00E34216">
      <w:pPr>
        <w:spacing w:before="40"/>
      </w:pPr>
    </w:p>
    <w:p w14:paraId="4E6C92C8" w14:textId="77777777" w:rsidR="00E34216" w:rsidRDefault="00000000">
      <w:pPr>
        <w:spacing w:before="60" w:after="60"/>
        <w:jc w:val="both"/>
      </w:pPr>
      <w:r>
        <w:rPr>
          <w:color w:val="444441"/>
        </w:rPr>
        <w:t>Founded on December 1, 2015 and independently valued at more than €300 million in 2026 ahead of its planned scale-up in 2027, Xvaluator’s strategy is unique: not to compete with AI giants, but to embed within their tools to make them more relevant, more ethical, and more ecological. Its frugal architecture requires no massive GPU farm and projects an EBITDA margin above 90% at maturity — structurally impossible for competing LLMs.</w:t>
      </w:r>
    </w:p>
    <w:p w14:paraId="3647E26A" w14:textId="77777777" w:rsidR="00E34216" w:rsidRDefault="00E34216">
      <w:pPr>
        <w:pBdr>
          <w:bottom w:val="single" w:sz="6" w:space="1" w:color="CCCCCC"/>
        </w:pBdr>
        <w:spacing w:before="40" w:after="40"/>
      </w:pPr>
    </w:p>
    <w:p w14:paraId="7EC5DB97" w14:textId="77777777" w:rsidR="00E34216" w:rsidRDefault="00000000">
      <w:pPr>
        <w:spacing w:before="200" w:after="60"/>
      </w:pPr>
      <w:r>
        <w:rPr>
          <w:b/>
          <w:bCs/>
          <w:color w:val="185FA5"/>
          <w:sz w:val="18"/>
          <w:szCs w:val="18"/>
        </w:rPr>
        <w:t>2. THE THIRD AI PARADIGM</w:t>
      </w:r>
    </w:p>
    <w:p w14:paraId="07861CF4" w14:textId="77777777" w:rsidR="00E34216" w:rsidRDefault="00000000">
      <w:pPr>
        <w:pStyle w:val="Heading2"/>
      </w:pPr>
      <w:r>
        <w:t>Qualitative AI — Neither Symbolic, Nor Connective</w:t>
      </w:r>
    </w:p>
    <w:p w14:paraId="3F118219" w14:textId="77777777" w:rsidR="00E34216" w:rsidRDefault="00000000">
      <w:pPr>
        <w:spacing w:before="60" w:after="60"/>
        <w:jc w:val="both"/>
      </w:pPr>
      <w:r>
        <w:rPr>
          <w:color w:val="444441"/>
        </w:rPr>
        <w:t>Since the 1950s, AI has been told in two chapters. Xvaluator opens a third, founded on rigorous economic and mathematical theory.</w:t>
      </w:r>
    </w:p>
    <w:p w14:paraId="1DB8E189" w14:textId="77777777" w:rsidR="00E34216" w:rsidRDefault="00E34216">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520"/>
        <w:gridCol w:w="2520"/>
        <w:gridCol w:w="2520"/>
      </w:tblGrid>
      <w:tr w:rsidR="00E34216" w14:paraId="0AA98040" w14:textId="77777777">
        <w:tblPrEx>
          <w:tblCellMar>
            <w:top w:w="0" w:type="dxa"/>
            <w:bottom w:w="0" w:type="dxa"/>
          </w:tblCellMar>
        </w:tblPrEx>
        <w:tc>
          <w:tcPr>
            <w:tcW w:w="1800" w:type="dxa"/>
            <w:tcBorders>
              <w:top w:val="single" w:sz="4" w:space="0" w:color="C0C0C0"/>
              <w:left w:val="single" w:sz="4" w:space="0" w:color="C0C0C0"/>
              <w:bottom w:val="single" w:sz="4" w:space="0" w:color="C0C0C0"/>
              <w:right w:val="single" w:sz="4" w:space="0" w:color="C0C0C0"/>
            </w:tcBorders>
            <w:shd w:val="clear" w:color="auto" w:fill="185FA5"/>
            <w:tcMar>
              <w:top w:w="80" w:type="dxa"/>
              <w:left w:w="100" w:type="dxa"/>
              <w:bottom w:w="80" w:type="dxa"/>
              <w:right w:w="100" w:type="dxa"/>
            </w:tcMar>
          </w:tcPr>
          <w:p w14:paraId="58B10030" w14:textId="77777777" w:rsidR="00E34216" w:rsidRDefault="00000000">
            <w:r>
              <w:rPr>
                <w:b/>
                <w:bCs/>
                <w:color w:val="FFFFFF"/>
                <w:sz w:val="18"/>
                <w:szCs w:val="18"/>
              </w:rPr>
              <w:t>Criterion</w:t>
            </w:r>
          </w:p>
        </w:tc>
        <w:tc>
          <w:tcPr>
            <w:tcW w:w="2520" w:type="dxa"/>
            <w:tcBorders>
              <w:top w:val="single" w:sz="4" w:space="0" w:color="C0C0C0"/>
              <w:left w:val="single" w:sz="4" w:space="0" w:color="C0C0C0"/>
              <w:bottom w:val="single" w:sz="4" w:space="0" w:color="C0C0C0"/>
              <w:right w:val="single" w:sz="4" w:space="0" w:color="C0C0C0"/>
            </w:tcBorders>
            <w:shd w:val="clear" w:color="auto" w:fill="185FA5"/>
            <w:tcMar>
              <w:top w:w="80" w:type="dxa"/>
              <w:left w:w="100" w:type="dxa"/>
              <w:bottom w:w="80" w:type="dxa"/>
              <w:right w:w="100" w:type="dxa"/>
            </w:tcMar>
          </w:tcPr>
          <w:p w14:paraId="19610CDA" w14:textId="77777777" w:rsidR="00E34216" w:rsidRDefault="00000000">
            <w:r>
              <w:rPr>
                <w:b/>
                <w:bCs/>
                <w:color w:val="FFFFFF"/>
                <w:sz w:val="18"/>
                <w:szCs w:val="18"/>
              </w:rPr>
              <w:t>Symbolic AI</w:t>
            </w:r>
          </w:p>
        </w:tc>
        <w:tc>
          <w:tcPr>
            <w:tcW w:w="2520" w:type="dxa"/>
            <w:tcBorders>
              <w:top w:val="single" w:sz="4" w:space="0" w:color="C0C0C0"/>
              <w:left w:val="single" w:sz="4" w:space="0" w:color="C0C0C0"/>
              <w:bottom w:val="single" w:sz="4" w:space="0" w:color="C0C0C0"/>
              <w:right w:val="single" w:sz="4" w:space="0" w:color="C0C0C0"/>
            </w:tcBorders>
            <w:shd w:val="clear" w:color="auto" w:fill="185FA5"/>
            <w:tcMar>
              <w:top w:w="80" w:type="dxa"/>
              <w:left w:w="100" w:type="dxa"/>
              <w:bottom w:w="80" w:type="dxa"/>
              <w:right w:w="100" w:type="dxa"/>
            </w:tcMar>
          </w:tcPr>
          <w:p w14:paraId="3B36D1C0" w14:textId="77777777" w:rsidR="00E34216" w:rsidRDefault="00000000">
            <w:r>
              <w:rPr>
                <w:b/>
                <w:bCs/>
                <w:color w:val="FFFFFF"/>
                <w:sz w:val="18"/>
                <w:szCs w:val="18"/>
              </w:rPr>
              <w:t>Connective AI (GenAI)</w:t>
            </w:r>
          </w:p>
        </w:tc>
        <w:tc>
          <w:tcPr>
            <w:tcW w:w="2520" w:type="dxa"/>
            <w:tcBorders>
              <w:top w:val="single" w:sz="4" w:space="0" w:color="C0C0C0"/>
              <w:left w:val="single" w:sz="4" w:space="0" w:color="C0C0C0"/>
              <w:bottom w:val="single" w:sz="4" w:space="0" w:color="C0C0C0"/>
              <w:right w:val="single" w:sz="4" w:space="0" w:color="C0C0C0"/>
            </w:tcBorders>
            <w:shd w:val="clear" w:color="auto" w:fill="185FA5"/>
            <w:tcMar>
              <w:top w:w="80" w:type="dxa"/>
              <w:left w:w="100" w:type="dxa"/>
              <w:bottom w:w="80" w:type="dxa"/>
              <w:right w:w="100" w:type="dxa"/>
            </w:tcMar>
          </w:tcPr>
          <w:p w14:paraId="41198253" w14:textId="77777777" w:rsidR="00E34216" w:rsidRDefault="00000000">
            <w:r>
              <w:rPr>
                <w:b/>
                <w:bCs/>
                <w:color w:val="FFFFFF"/>
                <w:sz w:val="18"/>
                <w:szCs w:val="18"/>
              </w:rPr>
              <w:t>Qualitative AI (QuAI)</w:t>
            </w:r>
          </w:p>
        </w:tc>
      </w:tr>
      <w:tr w:rsidR="00E34216" w14:paraId="49E49DD5" w14:textId="77777777">
        <w:tblPrEx>
          <w:tblCellMar>
            <w:top w:w="0" w:type="dxa"/>
            <w:bottom w:w="0" w:type="dxa"/>
          </w:tblCellMar>
        </w:tblPrEx>
        <w:tc>
          <w:tcPr>
            <w:tcW w:w="1800" w:type="dxa"/>
            <w:tcBorders>
              <w:top w:val="single" w:sz="4" w:space="0" w:color="C0C0C0"/>
              <w:left w:val="single" w:sz="4" w:space="0" w:color="C0C0C0"/>
              <w:bottom w:val="single" w:sz="4" w:space="0" w:color="C0C0C0"/>
              <w:right w:val="single" w:sz="4" w:space="0" w:color="C0C0C0"/>
            </w:tcBorders>
            <w:shd w:val="clear" w:color="auto" w:fill="F1EFE8"/>
            <w:tcMar>
              <w:top w:w="80" w:type="dxa"/>
              <w:left w:w="100" w:type="dxa"/>
              <w:bottom w:w="80" w:type="dxa"/>
              <w:right w:w="100" w:type="dxa"/>
            </w:tcMar>
          </w:tcPr>
          <w:p w14:paraId="23A9BF6A" w14:textId="77777777" w:rsidR="00E34216" w:rsidRDefault="00000000">
            <w:r>
              <w:rPr>
                <w:b/>
                <w:bCs/>
                <w:color w:val="1A1A1A"/>
                <w:sz w:val="18"/>
                <w:szCs w:val="18"/>
              </w:rPr>
              <w:t>Paradigm</w:t>
            </w:r>
          </w:p>
        </w:tc>
        <w:tc>
          <w:tcPr>
            <w:tcW w:w="2520" w:type="dxa"/>
            <w:tcBorders>
              <w:top w:val="single" w:sz="4" w:space="0" w:color="C0C0C0"/>
              <w:left w:val="single" w:sz="4" w:space="0" w:color="C0C0C0"/>
              <w:bottom w:val="single" w:sz="4" w:space="0" w:color="C0C0C0"/>
              <w:right w:val="single" w:sz="4" w:space="0" w:color="C0C0C0"/>
            </w:tcBorders>
            <w:shd w:val="clear" w:color="auto" w:fill="FFFFFF"/>
            <w:tcMar>
              <w:top w:w="80" w:type="dxa"/>
              <w:left w:w="100" w:type="dxa"/>
              <w:bottom w:w="80" w:type="dxa"/>
              <w:right w:w="100" w:type="dxa"/>
            </w:tcMar>
          </w:tcPr>
          <w:p w14:paraId="422106C5" w14:textId="77777777" w:rsidR="00E34216" w:rsidRDefault="00000000">
            <w:r>
              <w:rPr>
                <w:color w:val="1A1A1A"/>
                <w:sz w:val="18"/>
                <w:szCs w:val="18"/>
              </w:rPr>
              <w:t>Formalised human thinking — explicit knowledge, deductive logic</w:t>
            </w:r>
          </w:p>
        </w:tc>
        <w:tc>
          <w:tcPr>
            <w:tcW w:w="2520" w:type="dxa"/>
            <w:tcBorders>
              <w:top w:val="single" w:sz="4" w:space="0" w:color="C0C0C0"/>
              <w:left w:val="single" w:sz="4" w:space="0" w:color="C0C0C0"/>
              <w:bottom w:val="single" w:sz="4" w:space="0" w:color="C0C0C0"/>
              <w:right w:val="single" w:sz="4" w:space="0" w:color="C0C0C0"/>
            </w:tcBorders>
            <w:shd w:val="clear" w:color="auto" w:fill="FFFFFF"/>
            <w:tcMar>
              <w:top w:w="80" w:type="dxa"/>
              <w:left w:w="100" w:type="dxa"/>
              <w:bottom w:w="80" w:type="dxa"/>
              <w:right w:w="100" w:type="dxa"/>
            </w:tcMar>
          </w:tcPr>
          <w:p w14:paraId="080D956D" w14:textId="77777777" w:rsidR="00E34216" w:rsidRDefault="00000000">
            <w:r>
              <w:rPr>
                <w:color w:val="1A1A1A"/>
                <w:sz w:val="18"/>
                <w:szCs w:val="18"/>
              </w:rPr>
              <w:t>Neural networks, statistical learning, LLMs</w:t>
            </w:r>
          </w:p>
        </w:tc>
        <w:tc>
          <w:tcPr>
            <w:tcW w:w="2520" w:type="dxa"/>
            <w:tcBorders>
              <w:top w:val="single" w:sz="4" w:space="0" w:color="C0C0C0"/>
              <w:left w:val="single" w:sz="4" w:space="0" w:color="C0C0C0"/>
              <w:bottom w:val="single" w:sz="4" w:space="0" w:color="C0C0C0"/>
              <w:right w:val="single" w:sz="4" w:space="0" w:color="C0C0C0"/>
            </w:tcBorders>
            <w:shd w:val="clear" w:color="auto" w:fill="FFFFFF"/>
            <w:tcMar>
              <w:top w:w="80" w:type="dxa"/>
              <w:left w:w="100" w:type="dxa"/>
              <w:bottom w:w="80" w:type="dxa"/>
              <w:right w:w="100" w:type="dxa"/>
            </w:tcMar>
          </w:tcPr>
          <w:p w14:paraId="0C2A329E" w14:textId="77777777" w:rsidR="00E34216" w:rsidRDefault="00000000">
            <w:r>
              <w:rPr>
                <w:color w:val="1A1A1A"/>
                <w:sz w:val="18"/>
                <w:szCs w:val="18"/>
              </w:rPr>
              <w:t>Qualified aggregation of collective preferences, human-machine consensus</w:t>
            </w:r>
          </w:p>
        </w:tc>
      </w:tr>
      <w:tr w:rsidR="00E34216" w14:paraId="6D3D25B5" w14:textId="77777777">
        <w:tblPrEx>
          <w:tblCellMar>
            <w:top w:w="0" w:type="dxa"/>
            <w:bottom w:w="0" w:type="dxa"/>
          </w:tblCellMar>
        </w:tblPrEx>
        <w:tc>
          <w:tcPr>
            <w:tcW w:w="1800" w:type="dxa"/>
            <w:tcBorders>
              <w:top w:val="single" w:sz="4" w:space="0" w:color="C0C0C0"/>
              <w:left w:val="single" w:sz="4" w:space="0" w:color="C0C0C0"/>
              <w:bottom w:val="single" w:sz="4" w:space="0" w:color="C0C0C0"/>
              <w:right w:val="single" w:sz="4" w:space="0" w:color="C0C0C0"/>
            </w:tcBorders>
            <w:shd w:val="clear" w:color="auto" w:fill="F1EFE8"/>
            <w:tcMar>
              <w:top w:w="80" w:type="dxa"/>
              <w:left w:w="100" w:type="dxa"/>
              <w:bottom w:w="80" w:type="dxa"/>
              <w:right w:w="100" w:type="dxa"/>
            </w:tcMar>
          </w:tcPr>
          <w:p w14:paraId="6287C453" w14:textId="77777777" w:rsidR="00E34216" w:rsidRDefault="00000000">
            <w:r>
              <w:rPr>
                <w:b/>
                <w:bCs/>
                <w:color w:val="1A1A1A"/>
                <w:sz w:val="18"/>
                <w:szCs w:val="18"/>
              </w:rPr>
              <w:lastRenderedPageBreak/>
              <w:t>Pioneers</w:t>
            </w:r>
          </w:p>
        </w:tc>
        <w:tc>
          <w:tcPr>
            <w:tcW w:w="2520" w:type="dxa"/>
            <w:tcBorders>
              <w:top w:val="single" w:sz="4" w:space="0" w:color="C0C0C0"/>
              <w:left w:val="single" w:sz="4" w:space="0" w:color="C0C0C0"/>
              <w:bottom w:val="single" w:sz="4" w:space="0" w:color="C0C0C0"/>
              <w:right w:val="single" w:sz="4" w:space="0" w:color="C0C0C0"/>
            </w:tcBorders>
            <w:shd w:val="clear" w:color="auto" w:fill="FFFFFF"/>
            <w:tcMar>
              <w:top w:w="80" w:type="dxa"/>
              <w:left w:w="100" w:type="dxa"/>
              <w:bottom w:w="80" w:type="dxa"/>
              <w:right w:w="100" w:type="dxa"/>
            </w:tcMar>
          </w:tcPr>
          <w:p w14:paraId="0D839D17" w14:textId="77777777" w:rsidR="00E34216" w:rsidRDefault="00000000">
            <w:r>
              <w:rPr>
                <w:color w:val="1A1A1A"/>
                <w:sz w:val="18"/>
                <w:szCs w:val="18"/>
              </w:rPr>
              <w:t>Turing, McCarthy, Minsky, Newell &amp; Simon</w:t>
            </w:r>
          </w:p>
        </w:tc>
        <w:tc>
          <w:tcPr>
            <w:tcW w:w="2520" w:type="dxa"/>
            <w:tcBorders>
              <w:top w:val="single" w:sz="4" w:space="0" w:color="C0C0C0"/>
              <w:left w:val="single" w:sz="4" w:space="0" w:color="C0C0C0"/>
              <w:bottom w:val="single" w:sz="4" w:space="0" w:color="C0C0C0"/>
              <w:right w:val="single" w:sz="4" w:space="0" w:color="C0C0C0"/>
            </w:tcBorders>
            <w:shd w:val="clear" w:color="auto" w:fill="FFFFFF"/>
            <w:tcMar>
              <w:top w:w="80" w:type="dxa"/>
              <w:left w:w="100" w:type="dxa"/>
              <w:bottom w:w="80" w:type="dxa"/>
              <w:right w:w="100" w:type="dxa"/>
            </w:tcMar>
          </w:tcPr>
          <w:p w14:paraId="0D2E3547" w14:textId="77777777" w:rsidR="00E34216" w:rsidRDefault="00000000">
            <w:r>
              <w:rPr>
                <w:color w:val="1A1A1A"/>
                <w:sz w:val="18"/>
                <w:szCs w:val="18"/>
              </w:rPr>
              <w:t>LeCun, Hinton, Bengio, Hopfield (Nobel Physics 2024)</w:t>
            </w:r>
          </w:p>
        </w:tc>
        <w:tc>
          <w:tcPr>
            <w:tcW w:w="2520" w:type="dxa"/>
            <w:tcBorders>
              <w:top w:val="single" w:sz="4" w:space="0" w:color="C0C0C0"/>
              <w:left w:val="single" w:sz="4" w:space="0" w:color="C0C0C0"/>
              <w:bottom w:val="single" w:sz="4" w:space="0" w:color="C0C0C0"/>
              <w:right w:val="single" w:sz="4" w:space="0" w:color="C0C0C0"/>
            </w:tcBorders>
            <w:shd w:val="clear" w:color="auto" w:fill="FFFFFF"/>
            <w:tcMar>
              <w:top w:w="80" w:type="dxa"/>
              <w:left w:w="100" w:type="dxa"/>
              <w:bottom w:w="80" w:type="dxa"/>
              <w:right w:w="100" w:type="dxa"/>
            </w:tcMar>
          </w:tcPr>
          <w:p w14:paraId="40BEA7EE" w14:textId="77777777" w:rsidR="00E34216" w:rsidRDefault="00000000">
            <w:r>
              <w:rPr>
                <w:color w:val="1A1A1A"/>
                <w:sz w:val="18"/>
                <w:szCs w:val="18"/>
              </w:rPr>
              <w:t>Condorcet, Arrow (Nobel), Stiglitz (Nobel), Sen (Nobel)</w:t>
            </w:r>
          </w:p>
        </w:tc>
      </w:tr>
      <w:tr w:rsidR="00E34216" w14:paraId="6DF1D743" w14:textId="77777777">
        <w:tblPrEx>
          <w:tblCellMar>
            <w:top w:w="0" w:type="dxa"/>
            <w:bottom w:w="0" w:type="dxa"/>
          </w:tblCellMar>
        </w:tblPrEx>
        <w:tc>
          <w:tcPr>
            <w:tcW w:w="1800" w:type="dxa"/>
            <w:tcBorders>
              <w:top w:val="single" w:sz="4" w:space="0" w:color="C0C0C0"/>
              <w:left w:val="single" w:sz="4" w:space="0" w:color="C0C0C0"/>
              <w:bottom w:val="single" w:sz="4" w:space="0" w:color="C0C0C0"/>
              <w:right w:val="single" w:sz="4" w:space="0" w:color="C0C0C0"/>
            </w:tcBorders>
            <w:shd w:val="clear" w:color="auto" w:fill="F1EFE8"/>
            <w:tcMar>
              <w:top w:w="80" w:type="dxa"/>
              <w:left w:w="100" w:type="dxa"/>
              <w:bottom w:w="80" w:type="dxa"/>
              <w:right w:w="100" w:type="dxa"/>
            </w:tcMar>
          </w:tcPr>
          <w:p w14:paraId="5DDC7F32" w14:textId="77777777" w:rsidR="00E34216" w:rsidRDefault="00000000">
            <w:r>
              <w:rPr>
                <w:b/>
                <w:bCs/>
                <w:color w:val="1A1A1A"/>
                <w:sz w:val="18"/>
                <w:szCs w:val="18"/>
              </w:rPr>
              <w:t>CO₂ / query</w:t>
            </w:r>
          </w:p>
        </w:tc>
        <w:tc>
          <w:tcPr>
            <w:tcW w:w="2520" w:type="dxa"/>
            <w:tcBorders>
              <w:top w:val="single" w:sz="4" w:space="0" w:color="C0C0C0"/>
              <w:left w:val="single" w:sz="4" w:space="0" w:color="C0C0C0"/>
              <w:bottom w:val="single" w:sz="4" w:space="0" w:color="C0C0C0"/>
              <w:right w:val="single" w:sz="4" w:space="0" w:color="C0C0C0"/>
            </w:tcBorders>
            <w:shd w:val="clear" w:color="auto" w:fill="FFFFFF"/>
            <w:tcMar>
              <w:top w:w="80" w:type="dxa"/>
              <w:left w:w="100" w:type="dxa"/>
              <w:bottom w:w="80" w:type="dxa"/>
              <w:right w:w="100" w:type="dxa"/>
            </w:tcMar>
          </w:tcPr>
          <w:p w14:paraId="6F089753" w14:textId="77777777" w:rsidR="00E34216" w:rsidRDefault="00000000">
            <w:r>
              <w:rPr>
                <w:color w:val="1A1A1A"/>
                <w:sz w:val="18"/>
                <w:szCs w:val="18"/>
              </w:rPr>
              <w:t>Low</w:t>
            </w:r>
          </w:p>
        </w:tc>
        <w:tc>
          <w:tcPr>
            <w:tcW w:w="2520" w:type="dxa"/>
            <w:tcBorders>
              <w:top w:val="single" w:sz="4" w:space="0" w:color="C0C0C0"/>
              <w:left w:val="single" w:sz="4" w:space="0" w:color="C0C0C0"/>
              <w:bottom w:val="single" w:sz="4" w:space="0" w:color="C0C0C0"/>
              <w:right w:val="single" w:sz="4" w:space="0" w:color="C0C0C0"/>
            </w:tcBorders>
            <w:shd w:val="clear" w:color="auto" w:fill="FFFFFF"/>
            <w:tcMar>
              <w:top w:w="80" w:type="dxa"/>
              <w:left w:w="100" w:type="dxa"/>
              <w:bottom w:w="80" w:type="dxa"/>
              <w:right w:w="100" w:type="dxa"/>
            </w:tcMar>
          </w:tcPr>
          <w:p w14:paraId="37A23627" w14:textId="77777777" w:rsidR="00E34216" w:rsidRDefault="00000000">
            <w:r>
              <w:rPr>
                <w:color w:val="1A1A1A"/>
                <w:sz w:val="18"/>
                <w:szCs w:val="18"/>
              </w:rPr>
              <w:t>Very high (GPT-4 ~10g CO₂/req.)</w:t>
            </w:r>
          </w:p>
        </w:tc>
        <w:tc>
          <w:tcPr>
            <w:tcW w:w="2520" w:type="dxa"/>
            <w:tcBorders>
              <w:top w:val="single" w:sz="4" w:space="0" w:color="C0C0C0"/>
              <w:left w:val="single" w:sz="4" w:space="0" w:color="C0C0C0"/>
              <w:bottom w:val="single" w:sz="4" w:space="0" w:color="C0C0C0"/>
              <w:right w:val="single" w:sz="4" w:space="0" w:color="C0C0C0"/>
            </w:tcBorders>
            <w:shd w:val="clear" w:color="auto" w:fill="FFFFFF"/>
            <w:tcMar>
              <w:top w:w="80" w:type="dxa"/>
              <w:left w:w="100" w:type="dxa"/>
              <w:bottom w:w="80" w:type="dxa"/>
              <w:right w:w="100" w:type="dxa"/>
            </w:tcMar>
          </w:tcPr>
          <w:p w14:paraId="65043854" w14:textId="77777777" w:rsidR="00E34216" w:rsidRDefault="00000000">
            <w:r>
              <w:rPr>
                <w:color w:val="1A1A1A"/>
                <w:sz w:val="18"/>
                <w:szCs w:val="18"/>
              </w:rPr>
              <w:t>Minimal — patented frugal architecture</w:t>
            </w:r>
          </w:p>
        </w:tc>
      </w:tr>
      <w:tr w:rsidR="00E34216" w14:paraId="374001BA" w14:textId="77777777">
        <w:tblPrEx>
          <w:tblCellMar>
            <w:top w:w="0" w:type="dxa"/>
            <w:bottom w:w="0" w:type="dxa"/>
          </w:tblCellMar>
        </w:tblPrEx>
        <w:tc>
          <w:tcPr>
            <w:tcW w:w="1800" w:type="dxa"/>
            <w:tcBorders>
              <w:top w:val="single" w:sz="4" w:space="0" w:color="C0C0C0"/>
              <w:left w:val="single" w:sz="4" w:space="0" w:color="C0C0C0"/>
              <w:bottom w:val="single" w:sz="4" w:space="0" w:color="C0C0C0"/>
              <w:right w:val="single" w:sz="4" w:space="0" w:color="C0C0C0"/>
            </w:tcBorders>
            <w:shd w:val="clear" w:color="auto" w:fill="F1EFE8"/>
            <w:tcMar>
              <w:top w:w="80" w:type="dxa"/>
              <w:left w:w="100" w:type="dxa"/>
              <w:bottom w:w="80" w:type="dxa"/>
              <w:right w:w="100" w:type="dxa"/>
            </w:tcMar>
          </w:tcPr>
          <w:p w14:paraId="71DC22FE" w14:textId="77777777" w:rsidR="00E34216" w:rsidRDefault="00000000">
            <w:r>
              <w:rPr>
                <w:b/>
                <w:bCs/>
                <w:color w:val="1A1A1A"/>
                <w:sz w:val="18"/>
                <w:szCs w:val="18"/>
              </w:rPr>
              <w:t>Relation to others</w:t>
            </w:r>
          </w:p>
        </w:tc>
        <w:tc>
          <w:tcPr>
            <w:tcW w:w="2520" w:type="dxa"/>
            <w:tcBorders>
              <w:top w:val="single" w:sz="4" w:space="0" w:color="C0C0C0"/>
              <w:left w:val="single" w:sz="4" w:space="0" w:color="C0C0C0"/>
              <w:bottom w:val="single" w:sz="4" w:space="0" w:color="C0C0C0"/>
              <w:right w:val="single" w:sz="4" w:space="0" w:color="C0C0C0"/>
            </w:tcBorders>
            <w:shd w:val="clear" w:color="auto" w:fill="FFFFFF"/>
            <w:tcMar>
              <w:top w:w="80" w:type="dxa"/>
              <w:left w:w="100" w:type="dxa"/>
              <w:bottom w:w="80" w:type="dxa"/>
              <w:right w:w="100" w:type="dxa"/>
            </w:tcMar>
          </w:tcPr>
          <w:p w14:paraId="25375BA4" w14:textId="77777777" w:rsidR="00E34216" w:rsidRDefault="00000000">
            <w:r>
              <w:rPr>
                <w:color w:val="1A1A1A"/>
                <w:sz w:val="18"/>
                <w:szCs w:val="18"/>
              </w:rPr>
              <w:t>Competes with connective AI</w:t>
            </w:r>
          </w:p>
        </w:tc>
        <w:tc>
          <w:tcPr>
            <w:tcW w:w="2520" w:type="dxa"/>
            <w:tcBorders>
              <w:top w:val="single" w:sz="4" w:space="0" w:color="C0C0C0"/>
              <w:left w:val="single" w:sz="4" w:space="0" w:color="C0C0C0"/>
              <w:bottom w:val="single" w:sz="4" w:space="0" w:color="C0C0C0"/>
              <w:right w:val="single" w:sz="4" w:space="0" w:color="C0C0C0"/>
            </w:tcBorders>
            <w:shd w:val="clear" w:color="auto" w:fill="FFFFFF"/>
            <w:tcMar>
              <w:top w:w="80" w:type="dxa"/>
              <w:left w:w="100" w:type="dxa"/>
              <w:bottom w:w="80" w:type="dxa"/>
              <w:right w:w="100" w:type="dxa"/>
            </w:tcMar>
          </w:tcPr>
          <w:p w14:paraId="57C375AC" w14:textId="77777777" w:rsidR="00E34216" w:rsidRDefault="00000000">
            <w:r>
              <w:rPr>
                <w:color w:val="1A1A1A"/>
                <w:sz w:val="18"/>
                <w:szCs w:val="18"/>
              </w:rPr>
              <w:t>Competes with symbolic AI</w:t>
            </w:r>
          </w:p>
        </w:tc>
        <w:tc>
          <w:tcPr>
            <w:tcW w:w="2520" w:type="dxa"/>
            <w:tcBorders>
              <w:top w:val="single" w:sz="4" w:space="0" w:color="C0C0C0"/>
              <w:left w:val="single" w:sz="4" w:space="0" w:color="C0C0C0"/>
              <w:bottom w:val="single" w:sz="4" w:space="0" w:color="C0C0C0"/>
              <w:right w:val="single" w:sz="4" w:space="0" w:color="C0C0C0"/>
            </w:tcBorders>
            <w:shd w:val="clear" w:color="auto" w:fill="FFFFFF"/>
            <w:tcMar>
              <w:top w:w="80" w:type="dxa"/>
              <w:left w:w="100" w:type="dxa"/>
              <w:bottom w:w="80" w:type="dxa"/>
              <w:right w:w="100" w:type="dxa"/>
            </w:tcMar>
          </w:tcPr>
          <w:p w14:paraId="00863230" w14:textId="77777777" w:rsidR="00E34216" w:rsidRDefault="00000000">
            <w:r>
              <w:rPr>
                <w:color w:val="1A1A1A"/>
                <w:sz w:val="18"/>
                <w:szCs w:val="18"/>
              </w:rPr>
              <w:t>Embeds in all — enhances all</w:t>
            </w:r>
          </w:p>
        </w:tc>
      </w:tr>
      <w:tr w:rsidR="00E34216" w14:paraId="4DF78B20" w14:textId="77777777">
        <w:tblPrEx>
          <w:tblCellMar>
            <w:top w:w="0" w:type="dxa"/>
            <w:bottom w:w="0" w:type="dxa"/>
          </w:tblCellMar>
        </w:tblPrEx>
        <w:tc>
          <w:tcPr>
            <w:tcW w:w="1800" w:type="dxa"/>
            <w:tcBorders>
              <w:top w:val="single" w:sz="4" w:space="0" w:color="C0C0C0"/>
              <w:left w:val="single" w:sz="4" w:space="0" w:color="C0C0C0"/>
              <w:bottom w:val="single" w:sz="4" w:space="0" w:color="C0C0C0"/>
              <w:right w:val="single" w:sz="4" w:space="0" w:color="C0C0C0"/>
            </w:tcBorders>
            <w:shd w:val="clear" w:color="auto" w:fill="F1EFE8"/>
            <w:tcMar>
              <w:top w:w="80" w:type="dxa"/>
              <w:left w:w="100" w:type="dxa"/>
              <w:bottom w:w="80" w:type="dxa"/>
              <w:right w:w="100" w:type="dxa"/>
            </w:tcMar>
          </w:tcPr>
          <w:p w14:paraId="2D8F0F72" w14:textId="77777777" w:rsidR="00E34216" w:rsidRDefault="00000000">
            <w:r>
              <w:rPr>
                <w:b/>
                <w:bCs/>
                <w:color w:val="1A1A1A"/>
                <w:sz w:val="18"/>
                <w:szCs w:val="18"/>
              </w:rPr>
              <w:t>Key limit</w:t>
            </w:r>
          </w:p>
        </w:tc>
        <w:tc>
          <w:tcPr>
            <w:tcW w:w="2520" w:type="dxa"/>
            <w:tcBorders>
              <w:top w:val="single" w:sz="4" w:space="0" w:color="C0C0C0"/>
              <w:left w:val="single" w:sz="4" w:space="0" w:color="C0C0C0"/>
              <w:bottom w:val="single" w:sz="4" w:space="0" w:color="C0C0C0"/>
              <w:right w:val="single" w:sz="4" w:space="0" w:color="C0C0C0"/>
            </w:tcBorders>
            <w:shd w:val="clear" w:color="auto" w:fill="FFFFFF"/>
            <w:tcMar>
              <w:top w:w="80" w:type="dxa"/>
              <w:left w:w="100" w:type="dxa"/>
              <w:bottom w:w="80" w:type="dxa"/>
              <w:right w:w="100" w:type="dxa"/>
            </w:tcMar>
          </w:tcPr>
          <w:p w14:paraId="6450434E" w14:textId="77777777" w:rsidR="00E34216" w:rsidRDefault="00000000">
            <w:r>
              <w:rPr>
                <w:color w:val="1A1A1A"/>
                <w:sz w:val="18"/>
                <w:szCs w:val="18"/>
              </w:rPr>
              <w:t>Rigid under uncertainty</w:t>
            </w:r>
          </w:p>
        </w:tc>
        <w:tc>
          <w:tcPr>
            <w:tcW w:w="2520" w:type="dxa"/>
            <w:tcBorders>
              <w:top w:val="single" w:sz="4" w:space="0" w:color="C0C0C0"/>
              <w:left w:val="single" w:sz="4" w:space="0" w:color="C0C0C0"/>
              <w:bottom w:val="single" w:sz="4" w:space="0" w:color="C0C0C0"/>
              <w:right w:val="single" w:sz="4" w:space="0" w:color="C0C0C0"/>
            </w:tcBorders>
            <w:shd w:val="clear" w:color="auto" w:fill="FFFFFF"/>
            <w:tcMar>
              <w:top w:w="80" w:type="dxa"/>
              <w:left w:w="100" w:type="dxa"/>
              <w:bottom w:w="80" w:type="dxa"/>
              <w:right w:w="100" w:type="dxa"/>
            </w:tcMar>
          </w:tcPr>
          <w:p w14:paraId="7632FEB2" w14:textId="77777777" w:rsidR="00E34216" w:rsidRDefault="00000000">
            <w:r>
              <w:rPr>
                <w:color w:val="1A1A1A"/>
                <w:sz w:val="18"/>
                <w:szCs w:val="18"/>
              </w:rPr>
              <w:t>Bias, hallucinations, opacity, massive CO₂</w:t>
            </w:r>
          </w:p>
        </w:tc>
        <w:tc>
          <w:tcPr>
            <w:tcW w:w="2520" w:type="dxa"/>
            <w:tcBorders>
              <w:top w:val="single" w:sz="4" w:space="0" w:color="C0C0C0"/>
              <w:left w:val="single" w:sz="4" w:space="0" w:color="C0C0C0"/>
              <w:bottom w:val="single" w:sz="4" w:space="0" w:color="C0C0C0"/>
              <w:right w:val="single" w:sz="4" w:space="0" w:color="C0C0C0"/>
            </w:tcBorders>
            <w:shd w:val="clear" w:color="auto" w:fill="FFFFFF"/>
            <w:tcMar>
              <w:top w:w="80" w:type="dxa"/>
              <w:left w:w="100" w:type="dxa"/>
              <w:bottom w:w="80" w:type="dxa"/>
              <w:right w:w="100" w:type="dxa"/>
            </w:tcMar>
          </w:tcPr>
          <w:p w14:paraId="1D61DA11" w14:textId="77777777" w:rsidR="00E34216" w:rsidRDefault="00000000">
            <w:r>
              <w:rPr>
                <w:color w:val="1A1A1A"/>
                <w:sz w:val="18"/>
                <w:szCs w:val="18"/>
              </w:rPr>
              <w:t>Complementary layer — no intrinsic limitation</w:t>
            </w:r>
          </w:p>
        </w:tc>
      </w:tr>
    </w:tbl>
    <w:p w14:paraId="2CA1395F" w14:textId="77777777" w:rsidR="00E34216" w:rsidRDefault="00E34216">
      <w:pPr>
        <w:spacing w:before="80"/>
      </w:pPr>
    </w:p>
    <w:p w14:paraId="4022B6D2" w14:textId="77777777" w:rsidR="00E34216" w:rsidRDefault="00000000">
      <w:pPr>
        <w:spacing w:before="40" w:after="160"/>
      </w:pPr>
      <w:r>
        <w:rPr>
          <w:i/>
          <w:iCs/>
          <w:color w:val="888780"/>
          <w:sz w:val="16"/>
          <w:szCs w:val="16"/>
        </w:rPr>
        <w:t>Source: Paun &amp; Vaileanu-Paun, ISTE Tech&amp;Inn 2025 [3] · Springer Encyclopedia [2]</w:t>
      </w:r>
    </w:p>
    <w:p w14:paraId="0ECC70CE" w14:textId="77777777" w:rsidR="00E34216" w:rsidRDefault="00000000">
      <w:pPr>
        <w:pBdr>
          <w:left w:val="single" w:sz="18" w:space="14" w:color="185FA5"/>
        </w:pBdr>
        <w:spacing w:before="160" w:after="160"/>
        <w:ind w:left="360"/>
      </w:pPr>
      <w:r>
        <w:rPr>
          <w:rFonts w:ascii="Georgia" w:eastAsia="Georgia" w:hAnsi="Georgia" w:cs="Georgia"/>
          <w:i/>
          <w:iCs/>
          <w:color w:val="1A1A1A"/>
        </w:rPr>
        <w:t>“After the purely symbolic path of expert systems, then the purely connectionist path of neural networks, AI is now taking a third hybrid path. QuAI introduces elements of human reasoning mechanisms into AI models, going beyond mere imitation of reasoning effects. Inspired by social choice theory, this approach bypasses the Condorcet paradox through Borda-weighted aggregation methods — the model then behaves like a collective expert.”</w:t>
      </w:r>
      <w:r>
        <w:rPr>
          <w:color w:val="888780"/>
          <w:sz w:val="18"/>
          <w:szCs w:val="18"/>
        </w:rPr>
        <w:br/>
        <w:t xml:space="preserve"> — Pr. Nicolas Curien, Académicien, Académie des Technologies de France [1]</w:t>
      </w:r>
    </w:p>
    <w:p w14:paraId="5410527F" w14:textId="77777777" w:rsidR="00E34216" w:rsidRDefault="00E34216">
      <w:pPr>
        <w:pBdr>
          <w:bottom w:val="single" w:sz="6" w:space="1" w:color="CCCCCC"/>
        </w:pBdr>
        <w:spacing w:before="40" w:after="40"/>
      </w:pPr>
    </w:p>
    <w:p w14:paraId="1139ACCE" w14:textId="77777777" w:rsidR="00E34216" w:rsidRDefault="00000000">
      <w:pPr>
        <w:spacing w:before="200" w:after="60"/>
      </w:pPr>
      <w:r>
        <w:rPr>
          <w:b/>
          <w:bCs/>
          <w:color w:val="185FA5"/>
          <w:sz w:val="18"/>
          <w:szCs w:val="18"/>
        </w:rPr>
        <w:t>3. TECHNOLOGY</w:t>
      </w:r>
    </w:p>
    <w:p w14:paraId="6CA70611" w14:textId="77777777" w:rsidR="00E34216" w:rsidRDefault="00000000">
      <w:pPr>
        <w:pStyle w:val="Heading2"/>
      </w:pPr>
      <w:r>
        <w:t>The Xvaluator QuAI Ecosystem</w:t>
      </w:r>
    </w:p>
    <w:p w14:paraId="5EA0B2F5" w14:textId="77777777" w:rsidR="00E34216" w:rsidRDefault="00000000">
      <w:pPr>
        <w:spacing w:before="60" w:after="60"/>
        <w:jc w:val="both"/>
      </w:pPr>
      <w:r>
        <w:rPr>
          <w:color w:val="444441"/>
        </w:rPr>
        <w:t>The platform rests on three integrated components that together enable real-time data qualification and participative consensus-building. Supported in part by the E-DIH Paris-Saclay (CEA — European Digital Innovation Hub). [21]</w:t>
      </w:r>
    </w:p>
    <w:p w14:paraId="55FE59B6" w14:textId="77777777" w:rsidR="00E34216" w:rsidRDefault="00E34216">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E34216" w14:paraId="0852BC6E" w14:textId="77777777">
        <w:tblPrEx>
          <w:tblCellMar>
            <w:top w:w="0" w:type="dxa"/>
            <w:bottom w:w="0" w:type="dxa"/>
          </w:tblCellMar>
        </w:tblPrEx>
        <w:tc>
          <w:tcPr>
            <w:tcW w:w="4560" w:type="dxa"/>
            <w:shd w:val="clear" w:color="auto" w:fill="F1EFE8"/>
            <w:tcMar>
              <w:top w:w="120" w:type="dxa"/>
              <w:left w:w="160" w:type="dxa"/>
              <w:bottom w:w="120" w:type="dxa"/>
              <w:right w:w="160" w:type="dxa"/>
            </w:tcMar>
          </w:tcPr>
          <w:p w14:paraId="19C48CDC" w14:textId="77777777" w:rsidR="00E34216" w:rsidRDefault="00000000">
            <w:pPr>
              <w:spacing w:after="40"/>
            </w:pPr>
            <w:r>
              <w:rPr>
                <w:b/>
                <w:bCs/>
                <w:color w:val="185FA5"/>
                <w:sz w:val="36"/>
                <w:szCs w:val="36"/>
              </w:rPr>
              <w:t>Digital Wallet</w:t>
            </w:r>
          </w:p>
          <w:p w14:paraId="245CA36C" w14:textId="77777777" w:rsidR="00E34216" w:rsidRDefault="00000000">
            <w:r>
              <w:rPr>
                <w:color w:val="888780"/>
                <w:sz w:val="18"/>
                <w:szCs w:val="18"/>
              </w:rPr>
              <w:t>Consultation tool for optimal decision-making across stakeholders</w:t>
            </w:r>
          </w:p>
        </w:tc>
        <w:tc>
          <w:tcPr>
            <w:tcW w:w="4560" w:type="dxa"/>
            <w:shd w:val="clear" w:color="auto" w:fill="F1EFE8"/>
            <w:tcMar>
              <w:top w:w="120" w:type="dxa"/>
              <w:left w:w="160" w:type="dxa"/>
              <w:bottom w:w="120" w:type="dxa"/>
              <w:right w:w="160" w:type="dxa"/>
            </w:tcMar>
          </w:tcPr>
          <w:p w14:paraId="10F6355D" w14:textId="77777777" w:rsidR="00E34216" w:rsidRDefault="00000000">
            <w:pPr>
              <w:spacing w:after="40"/>
            </w:pPr>
            <w:r>
              <w:rPr>
                <w:b/>
                <w:bCs/>
                <w:color w:val="185FA5"/>
                <w:sz w:val="36"/>
                <w:szCs w:val="36"/>
              </w:rPr>
              <w:t>Like Fingerprint©</w:t>
            </w:r>
          </w:p>
          <w:p w14:paraId="5069DD11" w14:textId="77777777" w:rsidR="00E34216" w:rsidRDefault="00000000">
            <w:r>
              <w:rPr>
                <w:color w:val="888780"/>
                <w:sz w:val="18"/>
                <w:szCs w:val="18"/>
              </w:rPr>
              <w:t>Patented technology that structures &amp; protects data — GDPR compliant</w:t>
            </w:r>
          </w:p>
        </w:tc>
      </w:tr>
      <w:tr w:rsidR="00E34216" w14:paraId="62A7B3F5" w14:textId="77777777">
        <w:tblPrEx>
          <w:tblCellMar>
            <w:top w:w="0" w:type="dxa"/>
            <w:bottom w:w="0" w:type="dxa"/>
          </w:tblCellMar>
        </w:tblPrEx>
        <w:tc>
          <w:tcPr>
            <w:tcW w:w="4560" w:type="dxa"/>
            <w:shd w:val="clear" w:color="auto" w:fill="F1EFE8"/>
            <w:tcMar>
              <w:top w:w="120" w:type="dxa"/>
              <w:left w:w="160" w:type="dxa"/>
              <w:bottom w:w="120" w:type="dxa"/>
              <w:right w:w="160" w:type="dxa"/>
            </w:tcMar>
          </w:tcPr>
          <w:p w14:paraId="691386F9" w14:textId="77777777" w:rsidR="00E34216" w:rsidRDefault="00000000">
            <w:pPr>
              <w:spacing w:after="40"/>
            </w:pPr>
            <w:r>
              <w:rPr>
                <w:b/>
                <w:bCs/>
                <w:color w:val="185FA5"/>
                <w:sz w:val="36"/>
                <w:szCs w:val="36"/>
              </w:rPr>
              <w:t>Data Lake</w:t>
            </w:r>
          </w:p>
          <w:p w14:paraId="2D2DF572" w14:textId="77777777" w:rsidR="00E34216" w:rsidRDefault="00000000">
            <w:r>
              <w:rPr>
                <w:color w:val="888780"/>
                <w:sz w:val="18"/>
                <w:szCs w:val="18"/>
              </w:rPr>
              <w:t>Centralisation and qualification of reviews for informed decision-making</w:t>
            </w:r>
          </w:p>
        </w:tc>
        <w:tc>
          <w:tcPr>
            <w:tcW w:w="4560" w:type="dxa"/>
            <w:shd w:val="clear" w:color="auto" w:fill="F1EFE8"/>
            <w:tcMar>
              <w:top w:w="120" w:type="dxa"/>
              <w:left w:w="160" w:type="dxa"/>
              <w:bottom w:w="120" w:type="dxa"/>
              <w:right w:w="160" w:type="dxa"/>
            </w:tcMar>
          </w:tcPr>
          <w:p w14:paraId="572DDAF9" w14:textId="77777777" w:rsidR="00E34216" w:rsidRDefault="00000000">
            <w:pPr>
              <w:spacing w:after="40"/>
            </w:pPr>
            <w:r>
              <w:rPr>
                <w:b/>
                <w:bCs/>
                <w:color w:val="185FA5"/>
                <w:sz w:val="36"/>
                <w:szCs w:val="36"/>
              </w:rPr>
              <w:t>Real-time &amp; continuous</w:t>
            </w:r>
          </w:p>
          <w:p w14:paraId="15366404" w14:textId="77777777" w:rsidR="00E34216" w:rsidRDefault="00000000">
            <w:r>
              <w:rPr>
                <w:color w:val="888780"/>
                <w:sz w:val="18"/>
                <w:szCs w:val="18"/>
              </w:rPr>
              <w:t>Aggregates opinion &amp; impact data from all platforms and social networks</w:t>
            </w:r>
          </w:p>
        </w:tc>
      </w:tr>
    </w:tbl>
    <w:p w14:paraId="56AFBB48" w14:textId="77777777" w:rsidR="00E34216" w:rsidRDefault="00E34216">
      <w:pPr>
        <w:pBdr>
          <w:bottom w:val="single" w:sz="6" w:space="1" w:color="CCCCCC"/>
        </w:pBdr>
        <w:spacing w:before="40" w:after="40"/>
      </w:pPr>
    </w:p>
    <w:p w14:paraId="2EB0ADF9" w14:textId="77777777" w:rsidR="00E34216" w:rsidRDefault="00000000">
      <w:pPr>
        <w:spacing w:before="200" w:after="60"/>
      </w:pPr>
      <w:r>
        <w:rPr>
          <w:b/>
          <w:bCs/>
          <w:color w:val="185FA5"/>
          <w:sz w:val="18"/>
          <w:szCs w:val="18"/>
        </w:rPr>
        <w:t>4. OFFICIAL RECOGNITION</w:t>
      </w:r>
    </w:p>
    <w:p w14:paraId="4B0EE3C0" w14:textId="77777777" w:rsidR="00E34216" w:rsidRDefault="00000000">
      <w:pPr>
        <w:pStyle w:val="Heading2"/>
      </w:pPr>
      <w:r>
        <w:t>ACN 2026 Trusted Digital Observatory &amp; ISTE Open Science</w:t>
      </w:r>
    </w:p>
    <w:p w14:paraId="154422BB" w14:textId="77777777" w:rsidR="00E34216" w:rsidRDefault="00000000">
      <w:pPr>
        <w:spacing w:before="60" w:after="60"/>
        <w:jc w:val="both"/>
      </w:pPr>
      <w:r>
        <w:rPr>
          <w:color w:val="444441"/>
        </w:rPr>
        <w:t>The Alliance pour la Confiance en Numérique (ACN) cites Xvaluator on page 74 of its Observatoire 2026 de l’IA de Confiance. A new scientific chapter simultaneously published by ISTE Open Science further validates the framework:</w:t>
      </w:r>
    </w:p>
    <w:p w14:paraId="71F51B93" w14:textId="77777777" w:rsidR="00E34216" w:rsidRDefault="00E34216">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34216" w14:paraId="7E9A8387" w14:textId="77777777">
        <w:tblPrEx>
          <w:tblCellMar>
            <w:top w:w="0" w:type="dxa"/>
            <w:bottom w:w="0" w:type="dxa"/>
          </w:tblCellMar>
        </w:tblPrEx>
        <w:tc>
          <w:tcPr>
            <w:tcW w:w="9360" w:type="dxa"/>
            <w:tcBorders>
              <w:left w:val="single" w:sz="18" w:space="0" w:color="185FA5"/>
            </w:tcBorders>
            <w:shd w:val="clear" w:color="auto" w:fill="F1EFE8"/>
            <w:tcMar>
              <w:top w:w="120" w:type="dxa"/>
              <w:left w:w="200" w:type="dxa"/>
              <w:bottom w:w="120" w:type="dxa"/>
              <w:right w:w="160" w:type="dxa"/>
            </w:tcMar>
          </w:tcPr>
          <w:p w14:paraId="632FC6B8" w14:textId="77777777" w:rsidR="00E34216" w:rsidRDefault="00000000">
            <w:pPr>
              <w:spacing w:after="40"/>
            </w:pPr>
            <w:r>
              <w:rPr>
                <w:b/>
                <w:bCs/>
                <w:color w:val="1A1A1A"/>
                <w:sz w:val="20"/>
                <w:szCs w:val="20"/>
              </w:rPr>
              <w:t>QuAI: Cognitive AI for Trust, Consensus, Sustainability and Security</w:t>
            </w:r>
          </w:p>
          <w:p w14:paraId="3AE76579" w14:textId="77777777" w:rsidR="00E34216" w:rsidRDefault="00000000">
            <w:pPr>
              <w:spacing w:after="40"/>
            </w:pPr>
            <w:r>
              <w:rPr>
                <w:color w:val="888780"/>
                <w:sz w:val="18"/>
                <w:szCs w:val="18"/>
              </w:rPr>
              <w:t>Paun, F., Vaileanu-Paun, I., Leaua, C., O’Neal, T., Jaso, A., Chaudron, L. — ISTE Open Science, 2026</w:t>
            </w:r>
          </w:p>
          <w:p w14:paraId="5A2CAA9F" w14:textId="77777777" w:rsidR="00E34216" w:rsidRDefault="00000000">
            <w:hyperlink r:id="rId8" w:history="1">
              <w:r>
                <w:rPr>
                  <w:color w:val="185FA5"/>
                  <w:sz w:val="18"/>
                  <w:szCs w:val="18"/>
                  <w:u w:val="single"/>
                </w:rPr>
                <w:t>https://www.iste.co.uk/book.php?id=2359</w:t>
              </w:r>
            </w:hyperlink>
          </w:p>
        </w:tc>
      </w:tr>
    </w:tbl>
    <w:p w14:paraId="08B4D638" w14:textId="77777777" w:rsidR="00E34216" w:rsidRDefault="00E34216">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34216" w14:paraId="2B37E3B1" w14:textId="77777777">
        <w:tblPrEx>
          <w:tblCellMar>
            <w:top w:w="0" w:type="dxa"/>
            <w:bottom w:w="0" w:type="dxa"/>
          </w:tblCellMar>
        </w:tblPrEx>
        <w:tc>
          <w:tcPr>
            <w:tcW w:w="9360" w:type="dxa"/>
            <w:tcBorders>
              <w:left w:val="single" w:sz="18" w:space="0" w:color="185FA5"/>
            </w:tcBorders>
            <w:shd w:val="clear" w:color="auto" w:fill="F1EFE8"/>
            <w:tcMar>
              <w:top w:w="120" w:type="dxa"/>
              <w:left w:w="200" w:type="dxa"/>
              <w:bottom w:w="120" w:type="dxa"/>
              <w:right w:w="160" w:type="dxa"/>
            </w:tcMar>
          </w:tcPr>
          <w:p w14:paraId="1C8AE5B5" w14:textId="77777777" w:rsidR="00E34216" w:rsidRDefault="00000000">
            <w:pPr>
              <w:spacing w:after="40"/>
            </w:pPr>
            <w:r>
              <w:rPr>
                <w:b/>
                <w:bCs/>
                <w:color w:val="1A1A1A"/>
                <w:sz w:val="20"/>
                <w:szCs w:val="20"/>
              </w:rPr>
              <w:t>ACN Observatory 2026 — Full Report (Xvaluator cited p. 74)</w:t>
            </w:r>
          </w:p>
          <w:p w14:paraId="179B0F8C" w14:textId="77777777" w:rsidR="00E34216" w:rsidRDefault="00000000">
            <w:pPr>
              <w:spacing w:after="40"/>
            </w:pPr>
            <w:r>
              <w:rPr>
                <w:color w:val="888780"/>
                <w:sz w:val="18"/>
                <w:szCs w:val="18"/>
              </w:rPr>
              <w:t>Alliance pour la Confiance en Numérique, Paris, 2026</w:t>
            </w:r>
          </w:p>
          <w:p w14:paraId="32B02994" w14:textId="77777777" w:rsidR="00E34216" w:rsidRDefault="00000000">
            <w:hyperlink r:id="rId9" w:history="1">
              <w:r>
                <w:rPr>
                  <w:color w:val="185FA5"/>
                  <w:sz w:val="18"/>
                  <w:szCs w:val="18"/>
                  <w:u w:val="single"/>
                </w:rPr>
                <w:t>https://www.confiance-numerique.fr/wp-content/uploads/2026/06/Observatoire-ACN-2026-de-la-confiance-numerique-bd.pdf</w:t>
              </w:r>
            </w:hyperlink>
          </w:p>
        </w:tc>
      </w:tr>
    </w:tbl>
    <w:p w14:paraId="1A26B75F" w14:textId="77777777" w:rsidR="00E34216" w:rsidRDefault="00E34216">
      <w:pPr>
        <w:pBdr>
          <w:bottom w:val="single" w:sz="6" w:space="1" w:color="CCCCCC"/>
        </w:pBdr>
        <w:spacing w:before="40" w:after="40"/>
      </w:pPr>
    </w:p>
    <w:p w14:paraId="5A558895" w14:textId="77777777" w:rsidR="00E34216" w:rsidRDefault="00000000">
      <w:pPr>
        <w:spacing w:before="200" w:after="60"/>
      </w:pPr>
      <w:r>
        <w:rPr>
          <w:b/>
          <w:bCs/>
          <w:color w:val="185FA5"/>
          <w:sz w:val="18"/>
          <w:szCs w:val="18"/>
        </w:rPr>
        <w:t>5. MARKET CONTEXT</w:t>
      </w:r>
    </w:p>
    <w:p w14:paraId="1E65AA80" w14:textId="77777777" w:rsidR="00E34216" w:rsidRDefault="00000000">
      <w:pPr>
        <w:pStyle w:val="Heading2"/>
      </w:pPr>
      <w:r>
        <w:t>French Digital Trust Industry — 2025 Key Figures</w:t>
      </w:r>
    </w:p>
    <w:p w14:paraId="3D4AB955" w14:textId="77777777" w:rsidR="00E34216" w:rsidRPr="008A0D0C" w:rsidRDefault="00E34216">
      <w:pPr>
        <w:spacing w:before="80"/>
        <w:rPr>
          <w:sz w:val="18"/>
          <w:szCs w:val="18"/>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E34216" w:rsidRPr="008A0D0C" w14:paraId="73A5D7C8" w14:textId="77777777">
        <w:tblPrEx>
          <w:tblCellMar>
            <w:top w:w="0" w:type="dxa"/>
            <w:bottom w:w="0" w:type="dxa"/>
          </w:tblCellMar>
        </w:tblPrEx>
        <w:tc>
          <w:tcPr>
            <w:tcW w:w="4560" w:type="dxa"/>
            <w:shd w:val="clear" w:color="auto" w:fill="F1EFE8"/>
            <w:tcMar>
              <w:top w:w="120" w:type="dxa"/>
              <w:left w:w="160" w:type="dxa"/>
              <w:bottom w:w="120" w:type="dxa"/>
              <w:right w:w="160" w:type="dxa"/>
            </w:tcMar>
          </w:tcPr>
          <w:p w14:paraId="76B4BAA2" w14:textId="77777777" w:rsidR="00E34216" w:rsidRPr="008A0D0C" w:rsidRDefault="00000000">
            <w:pPr>
              <w:spacing w:after="40"/>
              <w:rPr>
                <w:sz w:val="18"/>
                <w:szCs w:val="18"/>
              </w:rPr>
            </w:pPr>
            <w:r w:rsidRPr="008A0D0C">
              <w:rPr>
                <w:b/>
                <w:bCs/>
                <w:color w:val="185FA5"/>
                <w:sz w:val="18"/>
                <w:szCs w:val="18"/>
              </w:rPr>
              <w:t>€34.7B</w:t>
            </w:r>
          </w:p>
          <w:p w14:paraId="0E68C101" w14:textId="77777777" w:rsidR="00E34216" w:rsidRPr="008A0D0C" w:rsidRDefault="00000000">
            <w:pPr>
              <w:rPr>
                <w:sz w:val="18"/>
                <w:szCs w:val="18"/>
              </w:rPr>
            </w:pPr>
            <w:r w:rsidRPr="008A0D0C">
              <w:rPr>
                <w:color w:val="888780"/>
                <w:sz w:val="18"/>
                <w:szCs w:val="18"/>
              </w:rPr>
              <w:t>Global revenue (+5.4% growth)</w:t>
            </w:r>
          </w:p>
        </w:tc>
        <w:tc>
          <w:tcPr>
            <w:tcW w:w="4560" w:type="dxa"/>
            <w:shd w:val="clear" w:color="auto" w:fill="F1EFE8"/>
            <w:tcMar>
              <w:top w:w="120" w:type="dxa"/>
              <w:left w:w="160" w:type="dxa"/>
              <w:bottom w:w="120" w:type="dxa"/>
              <w:right w:w="160" w:type="dxa"/>
            </w:tcMar>
          </w:tcPr>
          <w:p w14:paraId="63C10945" w14:textId="77777777" w:rsidR="00E34216" w:rsidRPr="008A0D0C" w:rsidRDefault="00000000">
            <w:pPr>
              <w:spacing w:after="40"/>
              <w:rPr>
                <w:sz w:val="18"/>
                <w:szCs w:val="18"/>
              </w:rPr>
            </w:pPr>
            <w:r w:rsidRPr="008A0D0C">
              <w:rPr>
                <w:b/>
                <w:bCs/>
                <w:color w:val="185FA5"/>
                <w:sz w:val="18"/>
                <w:szCs w:val="18"/>
              </w:rPr>
              <w:t>€22.4B</w:t>
            </w:r>
          </w:p>
          <w:p w14:paraId="7F8D87F6" w14:textId="77777777" w:rsidR="00E34216" w:rsidRPr="008A0D0C" w:rsidRDefault="00000000">
            <w:pPr>
              <w:rPr>
                <w:sz w:val="18"/>
                <w:szCs w:val="18"/>
              </w:rPr>
            </w:pPr>
            <w:r w:rsidRPr="008A0D0C">
              <w:rPr>
                <w:color w:val="888780"/>
                <w:sz w:val="18"/>
                <w:szCs w:val="18"/>
              </w:rPr>
              <w:t>French revenue (incl. €6.8B exports)</w:t>
            </w:r>
          </w:p>
        </w:tc>
      </w:tr>
      <w:tr w:rsidR="00E34216" w:rsidRPr="008A0D0C" w14:paraId="1A6E242A" w14:textId="77777777">
        <w:tblPrEx>
          <w:tblCellMar>
            <w:top w:w="0" w:type="dxa"/>
            <w:bottom w:w="0" w:type="dxa"/>
          </w:tblCellMar>
        </w:tblPrEx>
        <w:tc>
          <w:tcPr>
            <w:tcW w:w="4560" w:type="dxa"/>
            <w:shd w:val="clear" w:color="auto" w:fill="F1EFE8"/>
            <w:tcMar>
              <w:top w:w="120" w:type="dxa"/>
              <w:left w:w="160" w:type="dxa"/>
              <w:bottom w:w="120" w:type="dxa"/>
              <w:right w:w="160" w:type="dxa"/>
            </w:tcMar>
          </w:tcPr>
          <w:p w14:paraId="3C5417C1" w14:textId="77777777" w:rsidR="00E34216" w:rsidRPr="008A0D0C" w:rsidRDefault="00000000">
            <w:pPr>
              <w:spacing w:after="40"/>
              <w:rPr>
                <w:sz w:val="18"/>
                <w:szCs w:val="18"/>
              </w:rPr>
            </w:pPr>
            <w:r w:rsidRPr="008A0D0C">
              <w:rPr>
                <w:b/>
                <w:bCs/>
                <w:color w:val="185FA5"/>
                <w:sz w:val="18"/>
                <w:szCs w:val="18"/>
              </w:rPr>
              <w:t>174,900</w:t>
            </w:r>
          </w:p>
          <w:p w14:paraId="012029F3" w14:textId="77777777" w:rsidR="00E34216" w:rsidRPr="008A0D0C" w:rsidRDefault="00000000">
            <w:pPr>
              <w:rPr>
                <w:sz w:val="18"/>
                <w:szCs w:val="18"/>
              </w:rPr>
            </w:pPr>
            <w:r w:rsidRPr="008A0D0C">
              <w:rPr>
                <w:color w:val="888780"/>
                <w:sz w:val="18"/>
                <w:szCs w:val="18"/>
              </w:rPr>
              <w:t>Sector professionals worldwide</w:t>
            </w:r>
          </w:p>
        </w:tc>
        <w:tc>
          <w:tcPr>
            <w:tcW w:w="4560" w:type="dxa"/>
            <w:shd w:val="clear" w:color="auto" w:fill="F1EFE8"/>
            <w:tcMar>
              <w:top w:w="120" w:type="dxa"/>
              <w:left w:w="160" w:type="dxa"/>
              <w:bottom w:w="120" w:type="dxa"/>
              <w:right w:w="160" w:type="dxa"/>
            </w:tcMar>
          </w:tcPr>
          <w:p w14:paraId="49F5F2CB" w14:textId="77777777" w:rsidR="00E34216" w:rsidRPr="008A0D0C" w:rsidRDefault="00000000">
            <w:pPr>
              <w:spacing w:after="40"/>
              <w:rPr>
                <w:sz w:val="18"/>
                <w:szCs w:val="18"/>
              </w:rPr>
            </w:pPr>
            <w:r w:rsidRPr="008A0D0C">
              <w:rPr>
                <w:b/>
                <w:bCs/>
                <w:color w:val="185FA5"/>
                <w:sz w:val="18"/>
                <w:szCs w:val="18"/>
              </w:rPr>
              <w:t>8%</w:t>
            </w:r>
          </w:p>
          <w:p w14:paraId="7B703354" w14:textId="77777777" w:rsidR="00E34216" w:rsidRPr="008A0D0C" w:rsidRDefault="00000000">
            <w:pPr>
              <w:rPr>
                <w:sz w:val="18"/>
                <w:szCs w:val="18"/>
              </w:rPr>
            </w:pPr>
            <w:r w:rsidRPr="008A0D0C">
              <w:rPr>
                <w:color w:val="888780"/>
                <w:sz w:val="18"/>
                <w:szCs w:val="18"/>
              </w:rPr>
              <w:t>Trusted AI share — fastest-growing segment</w:t>
            </w:r>
          </w:p>
        </w:tc>
      </w:tr>
      <w:tr w:rsidR="00E34216" w:rsidRPr="008A0D0C" w14:paraId="772BE9AB" w14:textId="77777777">
        <w:tblPrEx>
          <w:tblCellMar>
            <w:top w:w="0" w:type="dxa"/>
            <w:bottom w:w="0" w:type="dxa"/>
          </w:tblCellMar>
        </w:tblPrEx>
        <w:tc>
          <w:tcPr>
            <w:tcW w:w="4560" w:type="dxa"/>
            <w:shd w:val="clear" w:color="auto" w:fill="F1EFE8"/>
            <w:tcMar>
              <w:top w:w="120" w:type="dxa"/>
              <w:left w:w="160" w:type="dxa"/>
              <w:bottom w:w="120" w:type="dxa"/>
              <w:right w:w="160" w:type="dxa"/>
            </w:tcMar>
          </w:tcPr>
          <w:p w14:paraId="0E6E2279" w14:textId="77777777" w:rsidR="00E34216" w:rsidRPr="008A0D0C" w:rsidRDefault="00000000">
            <w:pPr>
              <w:spacing w:after="40"/>
              <w:rPr>
                <w:sz w:val="18"/>
                <w:szCs w:val="18"/>
              </w:rPr>
            </w:pPr>
            <w:r w:rsidRPr="008A0D0C">
              <w:rPr>
                <w:b/>
                <w:bCs/>
                <w:color w:val="185FA5"/>
                <w:sz w:val="18"/>
                <w:szCs w:val="18"/>
              </w:rPr>
              <w:t>€300M+</w:t>
            </w:r>
          </w:p>
          <w:p w14:paraId="322D2CD0" w14:textId="77777777" w:rsidR="00E34216" w:rsidRPr="008A0D0C" w:rsidRDefault="00000000">
            <w:pPr>
              <w:rPr>
                <w:sz w:val="18"/>
                <w:szCs w:val="18"/>
              </w:rPr>
            </w:pPr>
            <w:r w:rsidRPr="008A0D0C">
              <w:rPr>
                <w:color w:val="888780"/>
                <w:sz w:val="18"/>
                <w:szCs w:val="18"/>
              </w:rPr>
              <w:t>Xvaluator valuation — Audit K, Paris 2024</w:t>
            </w:r>
          </w:p>
        </w:tc>
        <w:tc>
          <w:tcPr>
            <w:tcW w:w="4560" w:type="dxa"/>
            <w:shd w:val="clear" w:color="auto" w:fill="F1EFE8"/>
            <w:tcMar>
              <w:top w:w="120" w:type="dxa"/>
              <w:left w:w="160" w:type="dxa"/>
              <w:bottom w:w="120" w:type="dxa"/>
              <w:right w:w="160" w:type="dxa"/>
            </w:tcMar>
          </w:tcPr>
          <w:p w14:paraId="0A1CEB87" w14:textId="77777777" w:rsidR="00E34216" w:rsidRPr="008A0D0C" w:rsidRDefault="00000000">
            <w:pPr>
              <w:spacing w:after="40"/>
              <w:rPr>
                <w:sz w:val="18"/>
                <w:szCs w:val="18"/>
              </w:rPr>
            </w:pPr>
            <w:r w:rsidRPr="008A0D0C">
              <w:rPr>
                <w:b/>
                <w:bCs/>
                <w:color w:val="185FA5"/>
                <w:sz w:val="18"/>
                <w:szCs w:val="18"/>
              </w:rPr>
              <w:t>~$2T</w:t>
            </w:r>
          </w:p>
          <w:p w14:paraId="128443DB" w14:textId="77777777" w:rsidR="00E34216" w:rsidRPr="008A0D0C" w:rsidRDefault="00000000">
            <w:pPr>
              <w:rPr>
                <w:sz w:val="18"/>
                <w:szCs w:val="18"/>
              </w:rPr>
            </w:pPr>
            <w:r w:rsidRPr="008A0D0C">
              <w:rPr>
                <w:color w:val="888780"/>
                <w:sz w:val="18"/>
                <w:szCs w:val="18"/>
              </w:rPr>
              <w:t>Total addressable market (universal AI layer)</w:t>
            </w:r>
          </w:p>
        </w:tc>
      </w:tr>
    </w:tbl>
    <w:p w14:paraId="6AB03F67" w14:textId="77777777" w:rsidR="00E34216" w:rsidRDefault="00E34216">
      <w:pPr>
        <w:spacing w:before="80"/>
      </w:pPr>
    </w:p>
    <w:p w14:paraId="067D3D0B" w14:textId="55FE8900" w:rsidR="00E34216" w:rsidRDefault="00000000">
      <w:pPr>
        <w:spacing w:before="60" w:after="60"/>
        <w:jc w:val="both"/>
      </w:pPr>
      <w:r>
        <w:rPr>
          <w:color w:val="444441"/>
        </w:rPr>
        <w:t xml:space="preserve">As a universal complementary layer that enhances — rather than competes with — all existing AI systems including those from OpenAI, Anthropic, Mistral and xAI, Xvaluator addresses a structurally larger market than any single major AI player. An IPO is targeted within </w:t>
      </w:r>
      <w:r w:rsidR="0056170A">
        <w:rPr>
          <w:color w:val="444441"/>
        </w:rPr>
        <w:t>5</w:t>
      </w:r>
      <w:r>
        <w:rPr>
          <w:color w:val="444441"/>
        </w:rPr>
        <w:t xml:space="preserve"> years with a projected ×30 ROI based on the official valuation</w:t>
      </w:r>
      <w:r w:rsidR="0056170A">
        <w:rPr>
          <w:color w:val="444441"/>
        </w:rPr>
        <w:t xml:space="preserve"> in june 2026 </w:t>
      </w:r>
      <w:hyperlink r:id="rId10" w:history="1">
        <w:r w:rsidR="0056170A" w:rsidRPr="0042661B">
          <w:rPr>
            <w:rStyle w:val="Hyperlink"/>
          </w:rPr>
          <w:t>https://www.interviewfrancophone.net/_files/ugd/53b505_68d9ed14b4864cb1832d9f73840dcd0c.pdf</w:t>
        </w:r>
      </w:hyperlink>
      <w:r w:rsidR="0056170A">
        <w:rPr>
          <w:color w:val="444441"/>
        </w:rPr>
        <w:t xml:space="preserve"> (Surce: </w:t>
      </w:r>
      <w:hyperlink r:id="rId11" w:history="1">
        <w:r w:rsidR="0056170A" w:rsidRPr="0042661B">
          <w:rPr>
            <w:rStyle w:val="Hyperlink"/>
          </w:rPr>
          <w:t>https://www.interviewfrancophone.net/xvaluator-investisseurs</w:t>
        </w:r>
      </w:hyperlink>
      <w:r w:rsidR="0056170A">
        <w:rPr>
          <w:color w:val="444441"/>
        </w:rPr>
        <w:t xml:space="preserve">) </w:t>
      </w:r>
    </w:p>
    <w:p w14:paraId="0D9B94AF" w14:textId="77777777" w:rsidR="00E34216" w:rsidRDefault="00E34216">
      <w:pPr>
        <w:pBdr>
          <w:bottom w:val="single" w:sz="6" w:space="1" w:color="CCCCCC"/>
        </w:pBdr>
        <w:spacing w:before="40" w:after="40"/>
      </w:pPr>
    </w:p>
    <w:p w14:paraId="24A3AE34" w14:textId="77777777" w:rsidR="00E34216" w:rsidRDefault="00000000">
      <w:pPr>
        <w:spacing w:before="200" w:after="60"/>
      </w:pPr>
      <w:r>
        <w:rPr>
          <w:b/>
          <w:bCs/>
          <w:color w:val="185FA5"/>
          <w:sz w:val="18"/>
          <w:szCs w:val="18"/>
        </w:rPr>
        <w:t>6. FOUNDERS</w:t>
      </w:r>
    </w:p>
    <w:p w14:paraId="365ED64F" w14:textId="77777777" w:rsidR="00E34216" w:rsidRDefault="00000000">
      <w:pPr>
        <w:pStyle w:val="Heading2"/>
      </w:pPr>
      <w:r>
        <w:t>Scientific &amp; Institutional Credibility</w:t>
      </w:r>
    </w:p>
    <w:p w14:paraId="6F50713C" w14:textId="77777777" w:rsidR="00E34216" w:rsidRDefault="00E34216">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34216" w14:paraId="44737549" w14:textId="77777777">
        <w:tblPrEx>
          <w:tblCellMar>
            <w:top w:w="0" w:type="dxa"/>
            <w:bottom w:w="0" w:type="dxa"/>
          </w:tblCellMar>
        </w:tblPrEx>
        <w:tc>
          <w:tcPr>
            <w:tcW w:w="9360" w:type="dxa"/>
            <w:tcBorders>
              <w:left w:val="single" w:sz="18" w:space="0" w:color="185FA5"/>
            </w:tcBorders>
            <w:shd w:val="clear" w:color="auto" w:fill="E6F1FB"/>
            <w:tcMar>
              <w:top w:w="120" w:type="dxa"/>
              <w:left w:w="200" w:type="dxa"/>
              <w:bottom w:w="120" w:type="dxa"/>
              <w:right w:w="160" w:type="dxa"/>
            </w:tcMar>
          </w:tcPr>
          <w:p w14:paraId="7C14F125" w14:textId="77777777" w:rsidR="00E34216" w:rsidRDefault="00000000">
            <w:pPr>
              <w:spacing w:after="80"/>
            </w:pPr>
            <w:r>
              <w:rPr>
                <w:b/>
                <w:bCs/>
                <w:color w:val="185FA5"/>
              </w:rPr>
              <w:t>Dr. Florin Paun — Founder &amp; Inventor</w:t>
            </w:r>
          </w:p>
          <w:p w14:paraId="4A741D4A" w14:textId="77777777" w:rsidR="00E34216" w:rsidRDefault="00000000">
            <w:pPr>
              <w:spacing w:before="60" w:after="60"/>
              <w:jc w:val="both"/>
            </w:pPr>
            <w:r>
              <w:rPr>
                <w:color w:val="444441"/>
              </w:rPr>
              <w:t>Chevalier de l’Ordre National du Mérite · Former Head of Innovation &amp; Technology Transfer, ONERA (French national aerospace research centre — equivalent of NASA) · Trained at Polytechnique, ISAE Toulouse, and MIT Sloan (Leadership) · TEDx Bucharest speaker · Expert, EIC European Innovation Council · Google Scholar H-index 13 / i10-index 14 · Author of 5 books including the first ScienceFictionAI novel · Honorary Citizen of Alba Iulia, Romania.</w:t>
            </w:r>
          </w:p>
          <w:p w14:paraId="63947BAB" w14:textId="77777777" w:rsidR="00E34216" w:rsidRDefault="00E34216">
            <w:pPr>
              <w:spacing w:before="60"/>
            </w:pPr>
          </w:p>
          <w:p w14:paraId="5DE752DA" w14:textId="77777777" w:rsidR="00E34216" w:rsidRDefault="00000000">
            <w:pPr>
              <w:spacing w:before="60" w:after="60"/>
              <w:jc w:val="both"/>
              <w:rPr>
                <w:color w:val="444441"/>
              </w:rPr>
            </w:pPr>
            <w:r>
              <w:rPr>
                <w:color w:val="444441"/>
              </w:rPr>
              <w:t>Dr. Paun has extended the theoretical frameworks of Nobel laureates Joseph Stiglitz and Amartya Sen, identifying multiple asymmetries (cultural, temporal, interest-related) as new locks on collaborative innovation. He introduced the DRL — Demand Readiness Level, completing NASA’s TRL to hybridise Tech-Push and Market-Pull approaches. [6]</w:t>
            </w:r>
          </w:p>
          <w:p w14:paraId="5E96C6FD" w14:textId="77777777" w:rsidR="008A0D0C" w:rsidRDefault="008A0D0C">
            <w:pPr>
              <w:spacing w:before="60" w:after="60"/>
              <w:jc w:val="both"/>
              <w:rPr>
                <w:color w:val="444441"/>
              </w:rPr>
            </w:pPr>
          </w:p>
          <w:p w14:paraId="52593C84" w14:textId="74379D4E" w:rsidR="008A0D0C" w:rsidRDefault="008A0D0C" w:rsidP="008A0D0C">
            <w:pPr>
              <w:spacing w:before="60" w:after="60"/>
              <w:jc w:val="center"/>
            </w:pPr>
            <w:r>
              <w:rPr>
                <w:i/>
                <w:iCs/>
                <w:noProof/>
                <w:color w:val="5A6575"/>
                <w:sz w:val="15"/>
                <w:szCs w:val="15"/>
              </w:rPr>
              <w:lastRenderedPageBreak/>
              <w:drawing>
                <wp:inline distT="0" distB="0" distL="0" distR="0" wp14:anchorId="149A9D98" wp14:editId="0A9C850C">
                  <wp:extent cx="4254500" cy="4800600"/>
                  <wp:effectExtent l="0" t="0" r="0" b="0"/>
                  <wp:docPr id="1167497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497296" name="Picture 1167497296"/>
                          <pic:cNvPicPr/>
                        </pic:nvPicPr>
                        <pic:blipFill>
                          <a:blip r:embed="rId12">
                            <a:extLst>
                              <a:ext uri="{28A0092B-C50C-407E-A947-70E740481C1C}">
                                <a14:useLocalDpi xmlns:a14="http://schemas.microsoft.com/office/drawing/2010/main" val="0"/>
                              </a:ext>
                            </a:extLst>
                          </a:blip>
                          <a:stretch>
                            <a:fillRect/>
                          </a:stretch>
                        </pic:blipFill>
                        <pic:spPr>
                          <a:xfrm>
                            <a:off x="0" y="0"/>
                            <a:ext cx="4254500" cy="4800600"/>
                          </a:xfrm>
                          <a:prstGeom prst="rect">
                            <a:avLst/>
                          </a:prstGeom>
                        </pic:spPr>
                      </pic:pic>
                    </a:graphicData>
                  </a:graphic>
                </wp:inline>
              </w:drawing>
            </w:r>
          </w:p>
        </w:tc>
      </w:tr>
    </w:tbl>
    <w:p w14:paraId="1C67497D" w14:textId="77777777" w:rsidR="00E34216" w:rsidRDefault="00E34216">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34216" w14:paraId="3171BF54" w14:textId="77777777">
        <w:tblPrEx>
          <w:tblCellMar>
            <w:top w:w="0" w:type="dxa"/>
            <w:bottom w:w="0" w:type="dxa"/>
          </w:tblCellMar>
        </w:tblPrEx>
        <w:tc>
          <w:tcPr>
            <w:tcW w:w="9360" w:type="dxa"/>
            <w:tcBorders>
              <w:left w:val="single" w:sz="18" w:space="0" w:color="185FA5"/>
            </w:tcBorders>
            <w:shd w:val="clear" w:color="auto" w:fill="E6F1FB"/>
            <w:tcMar>
              <w:top w:w="120" w:type="dxa"/>
              <w:left w:w="200" w:type="dxa"/>
              <w:bottom w:w="120" w:type="dxa"/>
              <w:right w:w="160" w:type="dxa"/>
            </w:tcMar>
          </w:tcPr>
          <w:p w14:paraId="417AFD54" w14:textId="77777777" w:rsidR="00E34216" w:rsidRDefault="00000000">
            <w:pPr>
              <w:spacing w:after="80"/>
            </w:pPr>
            <w:r>
              <w:rPr>
                <w:b/>
                <w:bCs/>
                <w:color w:val="185FA5"/>
              </w:rPr>
              <w:t>Ingrid Vaileanu-Paun — Co-Founder &amp; Economist</w:t>
            </w:r>
          </w:p>
          <w:p w14:paraId="26554CD8" w14:textId="08AEF17B" w:rsidR="00E34216" w:rsidRDefault="00000000">
            <w:pPr>
              <w:spacing w:before="60" w:after="60"/>
              <w:jc w:val="both"/>
            </w:pPr>
            <w:r>
              <w:rPr>
                <w:color w:val="444441"/>
              </w:rPr>
              <w:t xml:space="preserve">Author of France’s first doctoral thesis in functional economy · Université Paris Diderot · CIFRE scholarship in partnership with EDF and the French Government </w:t>
            </w:r>
            <w:r w:rsidR="008A0D0C">
              <w:rPr>
                <w:color w:val="444441"/>
              </w:rPr>
              <w:t xml:space="preserve">(Bourse CIFRE) </w:t>
            </w:r>
            <w:r>
              <w:rPr>
                <w:color w:val="444441"/>
              </w:rPr>
              <w:t>· Her research scientifically proved the consubstantiality of evolutions in economic, innovation, and valorisation models — the theoretical foundation of Xvaluator’s co-evaluative approach · Springer Encyclopedia contributor (co-evaluation, 2013). [8]</w:t>
            </w:r>
          </w:p>
        </w:tc>
      </w:tr>
    </w:tbl>
    <w:p w14:paraId="73C5D094" w14:textId="77777777" w:rsidR="00E34216" w:rsidRDefault="00E34216">
      <w:pPr>
        <w:pBdr>
          <w:bottom w:val="single" w:sz="6" w:space="1" w:color="CCCCCC"/>
        </w:pBdr>
        <w:spacing w:before="40" w:after="40"/>
      </w:pPr>
    </w:p>
    <w:p w14:paraId="06DFC085" w14:textId="77777777" w:rsidR="00E34216" w:rsidRDefault="00000000">
      <w:pPr>
        <w:spacing w:before="200" w:after="60"/>
      </w:pPr>
      <w:r>
        <w:rPr>
          <w:b/>
          <w:bCs/>
          <w:color w:val="185FA5"/>
          <w:sz w:val="18"/>
          <w:szCs w:val="18"/>
        </w:rPr>
        <w:t>7. INSTITUTIONAL VOICES</w:t>
      </w:r>
    </w:p>
    <w:p w14:paraId="50E96071" w14:textId="77777777" w:rsidR="00E34216" w:rsidRDefault="00000000">
      <w:pPr>
        <w:pStyle w:val="Heading2"/>
      </w:pPr>
      <w:r>
        <w:t>Recognition Across Science, Government, Finance &amp; Industry</w:t>
      </w:r>
    </w:p>
    <w:p w14:paraId="2425BCBF" w14:textId="77777777" w:rsidR="00E34216" w:rsidRDefault="00E34216">
      <w:pPr>
        <w:spacing w:before="60"/>
      </w:pPr>
    </w:p>
    <w:p w14:paraId="56C6C23A" w14:textId="00E16811" w:rsidR="00E34216" w:rsidRDefault="00000000">
      <w:pPr>
        <w:pBdr>
          <w:left w:val="single" w:sz="18" w:space="14" w:color="185FA5"/>
        </w:pBdr>
        <w:spacing w:before="160" w:after="160"/>
        <w:ind w:left="360"/>
      </w:pPr>
      <w:r>
        <w:rPr>
          <w:rFonts w:ascii="Georgia" w:eastAsia="Georgia" w:hAnsi="Georgia" w:cs="Georgia"/>
          <w:i/>
          <w:iCs/>
          <w:color w:val="1A1A1A"/>
        </w:rPr>
        <w:t>“As the founder of Xvaluator, whose Qualitative AI completes the theories of Condorcet and Arrow, Dr. Florin Paun has helped open the path towards reducing the ecological footprint of AI and strengthening digital trust.</w:t>
      </w:r>
      <w:r w:rsidR="008A0D0C">
        <w:rPr>
          <w:rFonts w:ascii="Georgia" w:eastAsia="Georgia" w:hAnsi="Georgia" w:cs="Georgia"/>
          <w:i/>
          <w:iCs/>
          <w:color w:val="1A1A1A"/>
        </w:rPr>
        <w:t>”</w:t>
      </w:r>
      <w:r>
        <w:rPr>
          <w:color w:val="888780"/>
          <w:sz w:val="18"/>
          <w:szCs w:val="18"/>
        </w:rPr>
        <w:br/>
        <w:t xml:space="preserve"> — Jean-Luc Moudenc, Mayor of Toulouse, President of Toulouse Métropole [7]</w:t>
      </w:r>
    </w:p>
    <w:p w14:paraId="221618EB" w14:textId="77777777" w:rsidR="00E34216" w:rsidRDefault="00E34216">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E34216" w14:paraId="195F64BC" w14:textId="77777777">
        <w:tblPrEx>
          <w:tblCellMar>
            <w:top w:w="0" w:type="dxa"/>
            <w:bottom w:w="0" w:type="dxa"/>
          </w:tblCellMar>
        </w:tblPrEx>
        <w:tc>
          <w:tcPr>
            <w:tcW w:w="4440" w:type="dxa"/>
            <w:shd w:val="clear" w:color="auto" w:fill="F1EFE8"/>
            <w:tcMar>
              <w:top w:w="120" w:type="dxa"/>
              <w:left w:w="140" w:type="dxa"/>
              <w:bottom w:w="120" w:type="dxa"/>
              <w:right w:w="140" w:type="dxa"/>
            </w:tcMar>
          </w:tcPr>
          <w:p w14:paraId="44C6ADC9" w14:textId="77777777" w:rsidR="00E34216" w:rsidRDefault="00000000">
            <w:pPr>
              <w:pBdr>
                <w:left w:val="single" w:sz="12" w:space="8" w:color="185FA5"/>
              </w:pBdr>
              <w:spacing w:after="80"/>
              <w:ind w:left="160"/>
            </w:pPr>
            <w:r>
              <w:rPr>
                <w:rFonts w:ascii="Georgia" w:eastAsia="Georgia" w:hAnsi="Georgia" w:cs="Georgia"/>
                <w:i/>
                <w:iCs/>
                <w:color w:val="1A1A1A"/>
                <w:sz w:val="20"/>
                <w:szCs w:val="20"/>
              </w:rPr>
              <w:t xml:space="preserve">“I learned, during my mission aboard Soyuz-40 to the Salyut 6 orbital station, that genuine technological progress does not mean </w:t>
            </w:r>
            <w:r>
              <w:rPr>
                <w:rFonts w:ascii="Georgia" w:eastAsia="Georgia" w:hAnsi="Georgia" w:cs="Georgia"/>
                <w:i/>
                <w:iCs/>
                <w:color w:val="1A1A1A"/>
                <w:sz w:val="20"/>
                <w:szCs w:val="20"/>
              </w:rPr>
              <w:lastRenderedPageBreak/>
              <w:t>replacing the human being, but augmenting their capacity for judgement and responsibility. QuAI represents an attempt to bring AI closer to human deliberative logic.”</w:t>
            </w:r>
          </w:p>
          <w:p w14:paraId="1505DDA0" w14:textId="77777777" w:rsidR="00E34216" w:rsidRDefault="00000000">
            <w:r>
              <w:rPr>
                <w:color w:val="888780"/>
                <w:sz w:val="17"/>
                <w:szCs w:val="17"/>
              </w:rPr>
              <w:t>— Dorin Prunariu, Cosmonaut, Romanian Academy &amp; International Astronautics Academy [9]</w:t>
            </w:r>
          </w:p>
        </w:tc>
        <w:tc>
          <w:tcPr>
            <w:tcW w:w="4440" w:type="dxa"/>
            <w:shd w:val="clear" w:color="auto" w:fill="F1EFE8"/>
            <w:tcMar>
              <w:top w:w="120" w:type="dxa"/>
              <w:left w:w="140" w:type="dxa"/>
              <w:bottom w:w="120" w:type="dxa"/>
              <w:right w:w="140" w:type="dxa"/>
            </w:tcMar>
          </w:tcPr>
          <w:p w14:paraId="1D14024B" w14:textId="77777777" w:rsidR="00E34216" w:rsidRDefault="00000000">
            <w:pPr>
              <w:pBdr>
                <w:left w:val="single" w:sz="12" w:space="8" w:color="185FA5"/>
              </w:pBdr>
              <w:spacing w:after="80"/>
              <w:ind w:left="160"/>
            </w:pPr>
            <w:r>
              <w:rPr>
                <w:rFonts w:ascii="Georgia" w:eastAsia="Georgia" w:hAnsi="Georgia" w:cs="Georgia"/>
                <w:i/>
                <w:iCs/>
                <w:color w:val="1A1A1A"/>
                <w:sz w:val="20"/>
                <w:szCs w:val="20"/>
              </w:rPr>
              <w:lastRenderedPageBreak/>
              <w:t xml:space="preserve">“Xvaluator allows the city to deploy new methods to protect itself from bot attacks and to fight against the ecological footprint of its </w:t>
            </w:r>
            <w:r>
              <w:rPr>
                <w:rFonts w:ascii="Georgia" w:eastAsia="Georgia" w:hAnsi="Georgia" w:cs="Georgia"/>
                <w:i/>
                <w:iCs/>
                <w:color w:val="1A1A1A"/>
                <w:sz w:val="20"/>
                <w:szCs w:val="20"/>
              </w:rPr>
              <w:lastRenderedPageBreak/>
              <w:t>digital use with less energy-intensive generative AI.”</w:t>
            </w:r>
          </w:p>
          <w:p w14:paraId="23A8AF72" w14:textId="77777777" w:rsidR="00E34216" w:rsidRDefault="00000000">
            <w:r>
              <w:rPr>
                <w:color w:val="888780"/>
                <w:sz w:val="17"/>
                <w:szCs w:val="17"/>
              </w:rPr>
              <w:t>— Eric Legale, Director General, SEM ISSY MEDIA — Ville d’Issy-les-Moulineaux [13]</w:t>
            </w:r>
          </w:p>
        </w:tc>
      </w:tr>
      <w:tr w:rsidR="00E34216" w14:paraId="0880C653" w14:textId="77777777">
        <w:tblPrEx>
          <w:tblCellMar>
            <w:top w:w="0" w:type="dxa"/>
            <w:bottom w:w="0" w:type="dxa"/>
          </w:tblCellMar>
        </w:tblPrEx>
        <w:tc>
          <w:tcPr>
            <w:tcW w:w="4440" w:type="dxa"/>
            <w:shd w:val="clear" w:color="auto" w:fill="F1EFE8"/>
            <w:tcMar>
              <w:top w:w="120" w:type="dxa"/>
              <w:left w:w="140" w:type="dxa"/>
              <w:bottom w:w="120" w:type="dxa"/>
              <w:right w:w="140" w:type="dxa"/>
            </w:tcMar>
          </w:tcPr>
          <w:p w14:paraId="7BA83C3C" w14:textId="77777777" w:rsidR="00E34216" w:rsidRDefault="00000000">
            <w:pPr>
              <w:pBdr>
                <w:left w:val="single" w:sz="12" w:space="8" w:color="185FA5"/>
              </w:pBdr>
              <w:spacing w:after="80"/>
              <w:ind w:left="160"/>
            </w:pPr>
            <w:r>
              <w:rPr>
                <w:rFonts w:ascii="Georgia" w:eastAsia="Georgia" w:hAnsi="Georgia" w:cs="Georgia"/>
                <w:i/>
                <w:iCs/>
                <w:color w:val="1A1A1A"/>
                <w:sz w:val="20"/>
                <w:szCs w:val="20"/>
              </w:rPr>
              <w:lastRenderedPageBreak/>
              <w:t>“The value proposition centred on reducing the ecological footprint of generative AI and building digital trust solutions represents a major advance. We are pleased to recommend Xvaluator for funding.”</w:t>
            </w:r>
          </w:p>
          <w:p w14:paraId="001BD5FE" w14:textId="77777777" w:rsidR="00E34216" w:rsidRDefault="00000000">
            <w:r>
              <w:rPr>
                <w:color w:val="888780"/>
                <w:sz w:val="17"/>
                <w:szCs w:val="17"/>
              </w:rPr>
              <w:t>— Maximilien Nayaradou, Director General, Pôle Finance Innovation — Paris Europlace [15]</w:t>
            </w:r>
          </w:p>
        </w:tc>
        <w:tc>
          <w:tcPr>
            <w:tcW w:w="4440" w:type="dxa"/>
            <w:shd w:val="clear" w:color="auto" w:fill="F1EFE8"/>
            <w:tcMar>
              <w:top w:w="120" w:type="dxa"/>
              <w:left w:w="140" w:type="dxa"/>
              <w:bottom w:w="120" w:type="dxa"/>
              <w:right w:w="140" w:type="dxa"/>
            </w:tcMar>
          </w:tcPr>
          <w:p w14:paraId="46ED1F0E" w14:textId="3B6077A9" w:rsidR="00E34216" w:rsidRDefault="00000000">
            <w:pPr>
              <w:pBdr>
                <w:left w:val="single" w:sz="12" w:space="8" w:color="185FA5"/>
              </w:pBdr>
              <w:spacing w:after="80"/>
              <w:ind w:left="160"/>
            </w:pPr>
            <w:r>
              <w:rPr>
                <w:rFonts w:ascii="Georgia" w:eastAsia="Georgia" w:hAnsi="Georgia" w:cs="Georgia"/>
                <w:i/>
                <w:iCs/>
                <w:color w:val="1A1A1A"/>
                <w:sz w:val="20"/>
                <w:szCs w:val="20"/>
              </w:rPr>
              <w:t>“</w:t>
            </w:r>
            <w:r w:rsidR="008A0D0C" w:rsidRPr="008A0D0C">
              <w:rPr>
                <w:rFonts w:ascii="Georgia" w:eastAsia="Georgia" w:hAnsi="Georgia" w:cs="Georgia"/>
                <w:i/>
                <w:iCs/>
                <w:color w:val="1A1A1A"/>
                <w:sz w:val="20"/>
                <w:szCs w:val="20"/>
              </w:rPr>
              <w:t>"The IME seeks to integrate AI tools such as Xvaluator into the entrepreneur support process and to explore innovative French solutions for augmented mentoring — enabling the real-time, continuous, and qualified integration of feedback from all of an entrepreneur's stakeholders — with the goal of accelerating market anticipation processes, fostering open innovation, improving customer relationships, and securing and engaging investors."</w:t>
            </w:r>
          </w:p>
          <w:p w14:paraId="11CD3541" w14:textId="4DE89BF4" w:rsidR="00E34216" w:rsidRDefault="00000000">
            <w:r>
              <w:rPr>
                <w:color w:val="888780"/>
                <w:sz w:val="17"/>
                <w:szCs w:val="17"/>
              </w:rPr>
              <w:t xml:space="preserve">— </w:t>
            </w:r>
            <w:r w:rsidR="008A0D0C" w:rsidRPr="008A0D0C">
              <w:rPr>
                <w:color w:val="888780"/>
                <w:sz w:val="17"/>
                <w:szCs w:val="17"/>
              </w:rPr>
              <w:t>Fabrice Geffroy, General Delegate, IME France — National network of high-growth SMEs · Letter of Interest [17]</w:t>
            </w:r>
          </w:p>
        </w:tc>
      </w:tr>
      <w:tr w:rsidR="00E34216" w14:paraId="7DC64908" w14:textId="77777777">
        <w:tblPrEx>
          <w:tblCellMar>
            <w:top w:w="0" w:type="dxa"/>
            <w:bottom w:w="0" w:type="dxa"/>
          </w:tblCellMar>
        </w:tblPrEx>
        <w:tc>
          <w:tcPr>
            <w:tcW w:w="4440" w:type="dxa"/>
            <w:shd w:val="clear" w:color="auto" w:fill="F1EFE8"/>
            <w:tcMar>
              <w:top w:w="120" w:type="dxa"/>
              <w:left w:w="140" w:type="dxa"/>
              <w:bottom w:w="120" w:type="dxa"/>
              <w:right w:w="140" w:type="dxa"/>
            </w:tcMar>
          </w:tcPr>
          <w:p w14:paraId="4F450B1C" w14:textId="33F7F49E" w:rsidR="00E34216" w:rsidRDefault="00000000">
            <w:pPr>
              <w:pBdr>
                <w:left w:val="single" w:sz="12" w:space="8" w:color="185FA5"/>
              </w:pBdr>
              <w:spacing w:after="80"/>
              <w:ind w:left="160"/>
            </w:pPr>
            <w:r>
              <w:rPr>
                <w:rFonts w:ascii="Georgia" w:eastAsia="Georgia" w:hAnsi="Georgia" w:cs="Georgia"/>
                <w:i/>
                <w:iCs/>
                <w:color w:val="1A1A1A"/>
                <w:sz w:val="20"/>
                <w:szCs w:val="20"/>
              </w:rPr>
              <w:t>“</w:t>
            </w:r>
            <w:r w:rsidR="008A0D0C" w:rsidRPr="008A0D0C">
              <w:rPr>
                <w:rFonts w:ascii="Georgia" w:eastAsia="Georgia" w:hAnsi="Georgia" w:cs="Georgia"/>
                <w:i/>
                <w:iCs/>
                <w:color w:val="1A1A1A"/>
                <w:sz w:val="20"/>
                <w:szCs w:val="20"/>
              </w:rPr>
              <w:t>"Moovjee aims to allow its members and stakeholders to freely experiment with innovative solutions tailored to their needs. More specifically, the collaboration with Xvaluator will enable co-innovation and the development of digital tools useful to the network for measuring entrepreneur performance, anticipating risks, and adapting offerings based on real-time perceived value."</w:t>
            </w:r>
          </w:p>
          <w:p w14:paraId="26C80A6A" w14:textId="703B4080" w:rsidR="00E34216" w:rsidRDefault="00000000">
            <w:r>
              <w:rPr>
                <w:color w:val="888780"/>
                <w:sz w:val="17"/>
                <w:szCs w:val="17"/>
              </w:rPr>
              <w:t xml:space="preserve">— </w:t>
            </w:r>
            <w:r w:rsidR="008A0D0C" w:rsidRPr="008A0D0C">
              <w:rPr>
                <w:color w:val="888780"/>
                <w:sz w:val="17"/>
                <w:szCs w:val="17"/>
              </w:rPr>
              <w:t>Bénédicte Sanson, General Delegate, Moovjee — Over 60,000 entrepreneurs and their stakeholders · Letter of Intent [18]</w:t>
            </w:r>
          </w:p>
        </w:tc>
        <w:tc>
          <w:tcPr>
            <w:tcW w:w="4440" w:type="dxa"/>
            <w:shd w:val="clear" w:color="auto" w:fill="F1EFE8"/>
            <w:tcMar>
              <w:top w:w="120" w:type="dxa"/>
              <w:left w:w="140" w:type="dxa"/>
              <w:bottom w:w="120" w:type="dxa"/>
              <w:right w:w="140" w:type="dxa"/>
            </w:tcMar>
          </w:tcPr>
          <w:p w14:paraId="634444CB" w14:textId="77777777" w:rsidR="00E34216" w:rsidRDefault="00000000">
            <w:pPr>
              <w:pBdr>
                <w:left w:val="single" w:sz="12" w:space="8" w:color="185FA5"/>
              </w:pBdr>
              <w:spacing w:after="80"/>
              <w:ind w:left="160"/>
            </w:pPr>
            <w:r>
              <w:rPr>
                <w:rFonts w:ascii="Georgia" w:eastAsia="Georgia" w:hAnsi="Georgia" w:cs="Georgia"/>
                <w:i/>
                <w:iCs/>
                <w:color w:val="1A1A1A"/>
                <w:sz w:val="20"/>
                <w:szCs w:val="20"/>
              </w:rPr>
              <w:t>“The Participative Evaluation Platform Xvaluator offers a common co-evaluation space — a concept recognised by the scientific community (Springer Encyclopedia, Vaileanu-Paun, 2013).”</w:t>
            </w:r>
          </w:p>
          <w:p w14:paraId="4D101A1B" w14:textId="77777777" w:rsidR="00E34216" w:rsidRDefault="00000000">
            <w:r>
              <w:rPr>
                <w:color w:val="888780"/>
                <w:sz w:val="17"/>
                <w:szCs w:val="17"/>
              </w:rPr>
              <w:t>— Christian Pierret, Former Minister, President, Fédération des Villes Moyennes [14]</w:t>
            </w:r>
          </w:p>
        </w:tc>
      </w:tr>
      <w:tr w:rsidR="00E34216" w14:paraId="0C945B22" w14:textId="77777777">
        <w:tblPrEx>
          <w:tblCellMar>
            <w:top w:w="0" w:type="dxa"/>
            <w:bottom w:w="0" w:type="dxa"/>
          </w:tblCellMar>
        </w:tblPrEx>
        <w:tc>
          <w:tcPr>
            <w:tcW w:w="4440" w:type="dxa"/>
            <w:shd w:val="clear" w:color="auto" w:fill="F1EFE8"/>
            <w:tcMar>
              <w:top w:w="120" w:type="dxa"/>
              <w:left w:w="140" w:type="dxa"/>
              <w:bottom w:w="120" w:type="dxa"/>
              <w:right w:w="140" w:type="dxa"/>
            </w:tcMar>
          </w:tcPr>
          <w:p w14:paraId="3AECC632" w14:textId="77777777" w:rsidR="00E34216" w:rsidRDefault="00000000">
            <w:pPr>
              <w:pBdr>
                <w:left w:val="single" w:sz="12" w:space="8" w:color="185FA5"/>
              </w:pBdr>
              <w:spacing w:after="80"/>
              <w:ind w:left="160"/>
            </w:pPr>
            <w:r>
              <w:rPr>
                <w:rFonts w:ascii="Georgia" w:eastAsia="Georgia" w:hAnsi="Georgia" w:cs="Georgia"/>
                <w:i/>
                <w:iCs/>
                <w:color w:val="1A1A1A"/>
                <w:sz w:val="20"/>
                <w:szCs w:val="20"/>
              </w:rPr>
              <w:t>“La proposition de valeur centrée sur la réduction de l’empreinte écologique des usages de l’IA générative nous semble présenter des avancées majeures. Nous souhaitons être parmi les premières entreprises à expérimenter ces outils innovants.”</w:t>
            </w:r>
          </w:p>
          <w:p w14:paraId="287C439B" w14:textId="77777777" w:rsidR="00E34216" w:rsidRDefault="00000000">
            <w:r>
              <w:rPr>
                <w:color w:val="888780"/>
                <w:sz w:val="17"/>
                <w:szCs w:val="17"/>
              </w:rPr>
              <w:t>— Said Sahardeed, General Manager, Marcus Evans International [20]</w:t>
            </w:r>
          </w:p>
        </w:tc>
        <w:tc>
          <w:tcPr>
            <w:tcW w:w="4440" w:type="dxa"/>
            <w:shd w:val="clear" w:color="auto" w:fill="F1EFE8"/>
            <w:tcMar>
              <w:top w:w="120" w:type="dxa"/>
              <w:left w:w="140" w:type="dxa"/>
              <w:bottom w:w="120" w:type="dxa"/>
              <w:right w:w="140" w:type="dxa"/>
            </w:tcMar>
          </w:tcPr>
          <w:p w14:paraId="423A6A2C" w14:textId="77777777" w:rsidR="00E34216" w:rsidRDefault="00000000">
            <w:pPr>
              <w:pBdr>
                <w:left w:val="single" w:sz="12" w:space="8" w:color="185FA5"/>
              </w:pBdr>
              <w:spacing w:after="80"/>
              <w:ind w:left="160"/>
            </w:pPr>
            <w:r>
              <w:rPr>
                <w:rFonts w:ascii="Georgia" w:eastAsia="Georgia" w:hAnsi="Georgia" w:cs="Georgia"/>
                <w:i/>
                <w:iCs/>
                <w:color w:val="1A1A1A"/>
                <w:sz w:val="20"/>
                <w:szCs w:val="20"/>
              </w:rPr>
              <w:t>“La deeptech IA Qualificative Xvaluator apporte des solutions d’évaluation du business model en cohérence avec l’économie de la fonctionnalité pour la qualification participative des données.”</w:t>
            </w:r>
          </w:p>
          <w:p w14:paraId="56080428" w14:textId="77777777" w:rsidR="00E34216" w:rsidRDefault="00000000">
            <w:r>
              <w:rPr>
                <w:color w:val="888780"/>
                <w:sz w:val="17"/>
                <w:szCs w:val="17"/>
              </w:rPr>
              <w:t>— CEA Paris-Saclay, E-DIH — European Digital Innovation Hub [21]</w:t>
            </w:r>
          </w:p>
        </w:tc>
      </w:tr>
    </w:tbl>
    <w:p w14:paraId="3278F0B5" w14:textId="77777777" w:rsidR="00E34216" w:rsidRDefault="00E34216">
      <w:pPr>
        <w:pBdr>
          <w:bottom w:val="single" w:sz="6" w:space="1" w:color="CCCCCC"/>
        </w:pBdr>
        <w:spacing w:before="40" w:after="40"/>
      </w:pPr>
    </w:p>
    <w:p w14:paraId="64B722EC" w14:textId="77777777" w:rsidR="00E34216" w:rsidRDefault="00000000">
      <w:pPr>
        <w:spacing w:before="200" w:after="60"/>
      </w:pPr>
      <w:r>
        <w:rPr>
          <w:b/>
          <w:bCs/>
          <w:color w:val="185FA5"/>
          <w:sz w:val="18"/>
          <w:szCs w:val="18"/>
        </w:rPr>
        <w:t>8. VALIDATION NETWORK</w:t>
      </w:r>
    </w:p>
    <w:p w14:paraId="60C3A966" w14:textId="77777777" w:rsidR="00E34216" w:rsidRDefault="00000000">
      <w:pPr>
        <w:pStyle w:val="Heading2"/>
      </w:pPr>
      <w:r>
        <w:t>International Scientific &amp; Institutional Recognition</w:t>
      </w:r>
    </w:p>
    <w:p w14:paraId="4D469CF3" w14:textId="77777777" w:rsidR="00E34216" w:rsidRDefault="00E34216">
      <w:pPr>
        <w:spacing w:before="60"/>
      </w:pPr>
    </w:p>
    <w:p w14:paraId="28FFE986" w14:textId="77777777" w:rsidR="00E34216" w:rsidRDefault="00000000">
      <w:pPr>
        <w:spacing w:before="60" w:after="60"/>
        <w:jc w:val="both"/>
      </w:pPr>
      <w:r>
        <w:rPr>
          <w:color w:val="0C447C"/>
        </w:rPr>
        <w:t>Springer Encyclopedia  ·  ISTE Open Science 2026  ·  ACN — Alliance Confiance Numérique  ·  Romanian Academy  ·  Lugano AI Summit 2025  ·  NATO (prospective)  ·  Pôle Finance Innovation  ·  Paris Europlace  ·  French Federation of Cities  ·  CEA Paris-Saclay E-DIH  ·  Pôle Systematic Paris-Region  ·  BNP Paribas  ·  Ville d’Issy-les-Moulineaux  ·  France Deeptech  ·  IME France  ·  TED-X  ·  Marcus Evans International  ·  Moovjee (60,000+ entrepreneurs)</w:t>
      </w:r>
    </w:p>
    <w:p w14:paraId="7CAE8BF3" w14:textId="77777777" w:rsidR="00E34216" w:rsidRDefault="00E34216">
      <w:pPr>
        <w:pBdr>
          <w:bottom w:val="single" w:sz="6" w:space="1" w:color="CCCCCC"/>
        </w:pBdr>
        <w:spacing w:before="40" w:after="40"/>
      </w:pPr>
    </w:p>
    <w:p w14:paraId="4F3BD40D" w14:textId="77777777" w:rsidR="00E34216" w:rsidRDefault="00000000">
      <w:pPr>
        <w:spacing w:before="200" w:after="60"/>
      </w:pPr>
      <w:r>
        <w:rPr>
          <w:b/>
          <w:bCs/>
          <w:color w:val="185FA5"/>
          <w:sz w:val="18"/>
          <w:szCs w:val="18"/>
        </w:rPr>
        <w:t>9. GLOBAL ALIGNMENT</w:t>
      </w:r>
    </w:p>
    <w:p w14:paraId="4542CA6B" w14:textId="77777777" w:rsidR="00E34216" w:rsidRDefault="00000000">
      <w:pPr>
        <w:pStyle w:val="Heading2"/>
      </w:pPr>
      <w:r>
        <w:lastRenderedPageBreak/>
        <w:t>Natively Aligned with the World’s Key Frameworks</w:t>
      </w:r>
    </w:p>
    <w:p w14:paraId="2E5C4097" w14:textId="77777777" w:rsidR="00E34216" w:rsidRDefault="00000000">
      <w:pPr>
        <w:spacing w:before="60" w:after="60"/>
        <w:jc w:val="both"/>
      </w:pPr>
      <w:r>
        <w:rPr>
          <w:color w:val="444441"/>
        </w:rPr>
        <w:t>Xvaluator is natively compliant with:</w:t>
      </w:r>
    </w:p>
    <w:p w14:paraId="2426B2E7" w14:textId="77777777" w:rsidR="00E34216" w:rsidRDefault="00E34216">
      <w:pPr>
        <w:spacing w:before="40"/>
      </w:pPr>
    </w:p>
    <w:p w14:paraId="7BAA1DC8" w14:textId="77777777" w:rsidR="00E34216" w:rsidRDefault="00000000">
      <w:pPr>
        <w:spacing w:before="60" w:after="60"/>
        <w:jc w:val="both"/>
      </w:pPr>
      <w:r>
        <w:rPr>
          <w:color w:val="444441"/>
        </w:rPr>
        <w:t>•  EU AI Act (2024)</w:t>
      </w:r>
    </w:p>
    <w:p w14:paraId="48458801" w14:textId="77777777" w:rsidR="00E34216" w:rsidRDefault="00000000">
      <w:pPr>
        <w:spacing w:before="60" w:after="60"/>
        <w:jc w:val="both"/>
      </w:pPr>
      <w:r>
        <w:rPr>
          <w:color w:val="444441"/>
        </w:rPr>
        <w:t>•  Rome Call for AI Ethics — cosigned Pope Francis, Microsoft, IBM</w:t>
      </w:r>
    </w:p>
    <w:p w14:paraId="2E7F5C11" w14:textId="77777777" w:rsidR="00E34216" w:rsidRDefault="00000000">
      <w:pPr>
        <w:spacing w:before="60" w:after="60"/>
        <w:jc w:val="both"/>
      </w:pPr>
      <w:r>
        <w:rPr>
          <w:color w:val="444441"/>
        </w:rPr>
        <w:t>•  Paris Agreement on Climate</w:t>
      </w:r>
    </w:p>
    <w:p w14:paraId="66FBB983" w14:textId="77777777" w:rsidR="00E34216" w:rsidRDefault="00000000">
      <w:pPr>
        <w:spacing w:before="60" w:after="60"/>
        <w:jc w:val="both"/>
      </w:pPr>
      <w:r>
        <w:rPr>
          <w:color w:val="444441"/>
        </w:rPr>
        <w:t>•  UN Sustainable Development Goals: SDG 9 (Innovation), SDG 13 (Climate), SDG 16 (Justice), SDG 17 (Partnerships)</w:t>
      </w:r>
    </w:p>
    <w:p w14:paraId="6208BF6A" w14:textId="77777777" w:rsidR="00E34216" w:rsidRDefault="00000000">
      <w:pPr>
        <w:spacing w:before="60" w:after="60"/>
        <w:jc w:val="both"/>
      </w:pPr>
      <w:r>
        <w:rPr>
          <w:color w:val="444441"/>
        </w:rPr>
        <w:t>•  GDPR compliant</w:t>
      </w:r>
    </w:p>
    <w:p w14:paraId="04A423C6" w14:textId="77777777" w:rsidR="00E34216" w:rsidRDefault="00E34216">
      <w:pPr>
        <w:spacing w:before="80"/>
      </w:pPr>
    </w:p>
    <w:p w14:paraId="27FD0360" w14:textId="77777777" w:rsidR="00E34216" w:rsidRDefault="00000000">
      <w:pPr>
        <w:spacing w:before="60" w:after="60"/>
        <w:jc w:val="both"/>
      </w:pPr>
      <w:r>
        <w:rPr>
          <w:color w:val="444441"/>
        </w:rPr>
        <w:t>Xvaluator targets at least 30% of AI and digital users becoming active XVALUATORS — practitioners of open, participatory data qualification. An IPO is targeted within 8 years with a projected ×30 ROI based on the official 2024 valuation.</w:t>
      </w:r>
    </w:p>
    <w:p w14:paraId="3077464E" w14:textId="77777777" w:rsidR="00E34216" w:rsidRDefault="00E34216">
      <w:pPr>
        <w:pBdr>
          <w:bottom w:val="single" w:sz="6" w:space="1" w:color="CCCCCC"/>
        </w:pBdr>
        <w:spacing w:before="40" w:after="40"/>
      </w:pPr>
    </w:p>
    <w:p w14:paraId="6AD0DC4D" w14:textId="77777777" w:rsidR="00E34216" w:rsidRDefault="00000000">
      <w:pPr>
        <w:spacing w:before="200" w:after="60"/>
      </w:pPr>
      <w:r>
        <w:rPr>
          <w:b/>
          <w:bCs/>
          <w:color w:val="185FA5"/>
          <w:sz w:val="18"/>
          <w:szCs w:val="18"/>
        </w:rPr>
        <w:t>MEDIA CONTACT</w:t>
      </w:r>
    </w:p>
    <w:p w14:paraId="69A05820" w14:textId="77777777" w:rsidR="00E34216" w:rsidRDefault="00E34216">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34216" w14:paraId="4083E3EF" w14:textId="77777777">
        <w:tblPrEx>
          <w:tblCellMar>
            <w:top w:w="0" w:type="dxa"/>
            <w:bottom w:w="0" w:type="dxa"/>
          </w:tblCellMar>
        </w:tblPrEx>
        <w:tc>
          <w:tcPr>
            <w:tcW w:w="9360" w:type="dxa"/>
            <w:tcBorders>
              <w:left w:val="single" w:sz="18" w:space="0" w:color="185FA5"/>
            </w:tcBorders>
            <w:shd w:val="clear" w:color="auto" w:fill="F1EFE8"/>
            <w:tcMar>
              <w:top w:w="120" w:type="dxa"/>
              <w:left w:w="200" w:type="dxa"/>
              <w:bottom w:w="120" w:type="dxa"/>
              <w:right w:w="160" w:type="dxa"/>
            </w:tcMar>
          </w:tcPr>
          <w:p w14:paraId="4761C1E1" w14:textId="77777777" w:rsidR="00E34216" w:rsidRDefault="00000000">
            <w:pPr>
              <w:spacing w:after="40"/>
            </w:pPr>
            <w:r>
              <w:rPr>
                <w:b/>
                <w:bCs/>
                <w:color w:val="1A1A1A"/>
              </w:rPr>
              <w:t>Ingrid Vaileanu</w:t>
            </w:r>
          </w:p>
          <w:p w14:paraId="0C57B10E" w14:textId="77777777" w:rsidR="00E34216" w:rsidRDefault="00000000">
            <w:pPr>
              <w:spacing w:after="80"/>
            </w:pPr>
            <w:r>
              <w:rPr>
                <w:color w:val="888780"/>
                <w:sz w:val="20"/>
                <w:szCs w:val="20"/>
              </w:rPr>
              <w:t>Editor-in-Chief, Co-Founder — Xvaluator &amp; Interview Francophone</w:t>
            </w:r>
          </w:p>
          <w:p w14:paraId="1B30112C" w14:textId="77777777" w:rsidR="00E34216" w:rsidRDefault="00000000">
            <w:pPr>
              <w:spacing w:after="40"/>
            </w:pPr>
            <w:r>
              <w:rPr>
                <w:b/>
                <w:bCs/>
                <w:color w:val="1A1A1A"/>
                <w:sz w:val="20"/>
                <w:szCs w:val="20"/>
              </w:rPr>
              <w:t xml:space="preserve">Email: </w:t>
            </w:r>
            <w:r>
              <w:rPr>
                <w:color w:val="185FA5"/>
                <w:sz w:val="20"/>
                <w:szCs w:val="20"/>
              </w:rPr>
              <w:t>news@interviewfrancophone.net</w:t>
            </w:r>
          </w:p>
          <w:p w14:paraId="1E0F8979" w14:textId="77777777" w:rsidR="00E34216" w:rsidRDefault="00000000">
            <w:pPr>
              <w:spacing w:after="40"/>
            </w:pPr>
            <w:r>
              <w:rPr>
                <w:b/>
                <w:bCs/>
                <w:color w:val="1A1A1A"/>
                <w:sz w:val="20"/>
                <w:szCs w:val="20"/>
              </w:rPr>
              <w:t xml:space="preserve">Phone: </w:t>
            </w:r>
            <w:r>
              <w:rPr>
                <w:color w:val="888780"/>
                <w:sz w:val="20"/>
                <w:szCs w:val="20"/>
              </w:rPr>
              <w:t>+33 6 85 43 27 89</w:t>
            </w:r>
          </w:p>
          <w:p w14:paraId="55199B2E" w14:textId="77777777" w:rsidR="00E34216" w:rsidRDefault="00000000">
            <w:pPr>
              <w:spacing w:after="40"/>
            </w:pPr>
            <w:r>
              <w:rPr>
                <w:b/>
                <w:bCs/>
                <w:color w:val="1A1A1A"/>
                <w:sz w:val="20"/>
                <w:szCs w:val="20"/>
              </w:rPr>
              <w:t xml:space="preserve">Location: </w:t>
            </w:r>
            <w:r>
              <w:rPr>
                <w:color w:val="888780"/>
                <w:sz w:val="20"/>
                <w:szCs w:val="20"/>
              </w:rPr>
              <w:t>Issy-les-Moulineaux, 92130, France</w:t>
            </w:r>
          </w:p>
          <w:p w14:paraId="526324B4" w14:textId="77777777" w:rsidR="00E34216" w:rsidRDefault="00000000">
            <w:r>
              <w:rPr>
                <w:b/>
                <w:bCs/>
                <w:color w:val="1A1A1A"/>
                <w:sz w:val="20"/>
                <w:szCs w:val="20"/>
              </w:rPr>
              <w:t xml:space="preserve">Web: </w:t>
            </w:r>
            <w:r>
              <w:rPr>
                <w:color w:val="185FA5"/>
                <w:sz w:val="20"/>
                <w:szCs w:val="20"/>
              </w:rPr>
              <w:t>www.interviewfrancophone.net  ·  sodigital.fr/xvaluator  ·  florin-paun.com</w:t>
            </w:r>
          </w:p>
        </w:tc>
      </w:tr>
    </w:tbl>
    <w:p w14:paraId="1ECC19CC" w14:textId="77777777" w:rsidR="00E34216" w:rsidRDefault="00E34216">
      <w:pPr>
        <w:pBdr>
          <w:bottom w:val="single" w:sz="6" w:space="1" w:color="CCCCCC"/>
        </w:pBdr>
        <w:spacing w:before="40" w:after="40"/>
      </w:pPr>
    </w:p>
    <w:p w14:paraId="17067603" w14:textId="77777777" w:rsidR="00E34216" w:rsidRDefault="00000000">
      <w:pPr>
        <w:spacing w:before="200" w:after="60"/>
      </w:pPr>
      <w:r>
        <w:rPr>
          <w:b/>
          <w:bCs/>
          <w:color w:val="185FA5"/>
          <w:sz w:val="18"/>
          <w:szCs w:val="18"/>
        </w:rPr>
        <w:t>ABOUT INTERVIEW FRANCOPHONE</w:t>
      </w:r>
    </w:p>
    <w:p w14:paraId="6DEA0ED4" w14:textId="77777777" w:rsidR="00E34216" w:rsidRDefault="00000000">
      <w:pPr>
        <w:spacing w:before="60" w:after="60"/>
        <w:jc w:val="both"/>
      </w:pPr>
      <w:r>
        <w:rPr>
          <w:color w:val="888780"/>
        </w:rPr>
        <w:t>European accredited publication, member of the Foreign Press Association (APE) in Paris since 2004. 300+ MAE-accredited media outlets across 28 diaspora communities in 42 countries. Over 1 million global readers. Organiser of the annual International Summit of Scientific and Innovation Diasporas (Paris — Sénat / Palais Brongniart), which has welcomed Nobel laureates, Heads of State, the President of the World Bank (2025), and the Managing Director of the IMF.</w:t>
      </w:r>
    </w:p>
    <w:p w14:paraId="4747CEA1" w14:textId="77777777" w:rsidR="00E34216" w:rsidRDefault="00E34216">
      <w:pPr>
        <w:spacing w:before="120"/>
      </w:pPr>
    </w:p>
    <w:p w14:paraId="28CEDAD2" w14:textId="77777777" w:rsidR="00E34216" w:rsidRDefault="00000000">
      <w:pPr>
        <w:spacing w:before="80"/>
        <w:jc w:val="center"/>
      </w:pPr>
      <w:r>
        <w:rPr>
          <w:color w:val="888780"/>
          <w:sz w:val="18"/>
          <w:szCs w:val="18"/>
        </w:rPr>
        <w:t>—  END OF PRESS RELEASE  —</w:t>
      </w:r>
    </w:p>
    <w:sectPr w:rsidR="00E34216">
      <w:headerReference w:type="default" r:id="rId13"/>
      <w:footerReference w:type="default" r:id="rId14"/>
      <w:pgSz w:w="11906" w:h="16838"/>
      <w:pgMar w:top="1200" w:right="1200" w:bottom="12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B242F" w14:textId="77777777" w:rsidR="001C1C6D" w:rsidRDefault="001C1C6D">
      <w:r>
        <w:separator/>
      </w:r>
    </w:p>
  </w:endnote>
  <w:endnote w:type="continuationSeparator" w:id="0">
    <w:p w14:paraId="7B6D9A4A" w14:textId="77777777" w:rsidR="001C1C6D" w:rsidRDefault="001C1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CAEE6" w14:textId="63B782C8" w:rsidR="00E34216" w:rsidRDefault="00000000">
    <w:pPr>
      <w:pBdr>
        <w:top w:val="single" w:sz="6" w:space="1" w:color="CCCCCC"/>
      </w:pBdr>
      <w:spacing w:before="80"/>
    </w:pPr>
    <w:r>
      <w:rPr>
        <w:color w:val="888780"/>
        <w:sz w:val="16"/>
        <w:szCs w:val="16"/>
      </w:rPr>
      <w:t xml:space="preserve">Xvaluator QuAI  ·  Issy-les-Moulineaux, France  ·  sodigital.fr/xvaluator   ·  Page </w:t>
    </w:r>
    <w:r>
      <w:rPr>
        <w:color w:val="888780"/>
        <w:sz w:val="16"/>
        <w:szCs w:val="16"/>
      </w:rPr>
      <w:fldChar w:fldCharType="begin"/>
    </w:r>
    <w:r>
      <w:rPr>
        <w:color w:val="888780"/>
        <w:sz w:val="16"/>
        <w:szCs w:val="16"/>
      </w:rPr>
      <w:instrText>PAGE</w:instrText>
    </w:r>
    <w:r>
      <w:rPr>
        <w:color w:val="888780"/>
        <w:sz w:val="16"/>
        <w:szCs w:val="16"/>
      </w:rPr>
      <w:fldChar w:fldCharType="separate"/>
    </w:r>
    <w:r w:rsidR="00CE6373">
      <w:rPr>
        <w:noProof/>
        <w:color w:val="888780"/>
        <w:sz w:val="16"/>
        <w:szCs w:val="16"/>
      </w:rPr>
      <w:t>1</w:t>
    </w:r>
    <w:r>
      <w:rPr>
        <w:color w:val="8887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E508C" w14:textId="77777777" w:rsidR="001C1C6D" w:rsidRDefault="001C1C6D">
      <w:r>
        <w:separator/>
      </w:r>
    </w:p>
  </w:footnote>
  <w:footnote w:type="continuationSeparator" w:id="0">
    <w:p w14:paraId="5A91A750" w14:textId="77777777" w:rsidR="001C1C6D" w:rsidRDefault="001C1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B2627" w14:textId="77777777" w:rsidR="00E34216" w:rsidRDefault="00000000">
    <w:pPr>
      <w:pBdr>
        <w:bottom w:val="single" w:sz="6" w:space="1" w:color="CCCCCC"/>
      </w:pBdr>
      <w:spacing w:after="120"/>
    </w:pPr>
    <w:r>
      <w:rPr>
        <w:color w:val="888780"/>
        <w:sz w:val="16"/>
        <w:szCs w:val="16"/>
      </w:rPr>
      <w:t>XVALUATOR QuAI  ·  PRESS RELEASE  ·  JUNE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0247"/>
    <w:multiLevelType w:val="hybridMultilevel"/>
    <w:tmpl w:val="3A681A14"/>
    <w:lvl w:ilvl="0" w:tplc="D0562D1A">
      <w:start w:val="1"/>
      <w:numFmt w:val="bullet"/>
      <w:lvlText w:val="●"/>
      <w:lvlJc w:val="left"/>
      <w:pPr>
        <w:ind w:left="720" w:hanging="360"/>
      </w:pPr>
    </w:lvl>
    <w:lvl w:ilvl="1" w:tplc="B9EC46BC">
      <w:start w:val="1"/>
      <w:numFmt w:val="bullet"/>
      <w:lvlText w:val="○"/>
      <w:lvlJc w:val="left"/>
      <w:pPr>
        <w:ind w:left="1440" w:hanging="360"/>
      </w:pPr>
    </w:lvl>
    <w:lvl w:ilvl="2" w:tplc="22463C0E">
      <w:start w:val="1"/>
      <w:numFmt w:val="bullet"/>
      <w:lvlText w:val="■"/>
      <w:lvlJc w:val="left"/>
      <w:pPr>
        <w:ind w:left="2160" w:hanging="360"/>
      </w:pPr>
    </w:lvl>
    <w:lvl w:ilvl="3" w:tplc="68B2D644">
      <w:start w:val="1"/>
      <w:numFmt w:val="bullet"/>
      <w:lvlText w:val="●"/>
      <w:lvlJc w:val="left"/>
      <w:pPr>
        <w:ind w:left="2880" w:hanging="360"/>
      </w:pPr>
    </w:lvl>
    <w:lvl w:ilvl="4" w:tplc="A420EE76">
      <w:start w:val="1"/>
      <w:numFmt w:val="bullet"/>
      <w:lvlText w:val="○"/>
      <w:lvlJc w:val="left"/>
      <w:pPr>
        <w:ind w:left="3600" w:hanging="360"/>
      </w:pPr>
    </w:lvl>
    <w:lvl w:ilvl="5" w:tplc="C9E4ED28">
      <w:start w:val="1"/>
      <w:numFmt w:val="bullet"/>
      <w:lvlText w:val="■"/>
      <w:lvlJc w:val="left"/>
      <w:pPr>
        <w:ind w:left="4320" w:hanging="360"/>
      </w:pPr>
    </w:lvl>
    <w:lvl w:ilvl="6" w:tplc="9B72DC72">
      <w:start w:val="1"/>
      <w:numFmt w:val="bullet"/>
      <w:lvlText w:val="●"/>
      <w:lvlJc w:val="left"/>
      <w:pPr>
        <w:ind w:left="5040" w:hanging="360"/>
      </w:pPr>
    </w:lvl>
    <w:lvl w:ilvl="7" w:tplc="8B3C03D6">
      <w:start w:val="1"/>
      <w:numFmt w:val="bullet"/>
      <w:lvlText w:val="●"/>
      <w:lvlJc w:val="left"/>
      <w:pPr>
        <w:ind w:left="5760" w:hanging="360"/>
      </w:pPr>
    </w:lvl>
    <w:lvl w:ilvl="8" w:tplc="90CEAC14">
      <w:start w:val="1"/>
      <w:numFmt w:val="bullet"/>
      <w:lvlText w:val="●"/>
      <w:lvlJc w:val="left"/>
      <w:pPr>
        <w:ind w:left="6480" w:hanging="360"/>
      </w:pPr>
    </w:lvl>
  </w:abstractNum>
  <w:num w:numId="1" w16cid:durableId="14141561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16"/>
    <w:rsid w:val="001C1C6D"/>
    <w:rsid w:val="0056170A"/>
    <w:rsid w:val="008A0D0C"/>
    <w:rsid w:val="00B842AC"/>
    <w:rsid w:val="00CE6373"/>
    <w:rsid w:val="00E34216"/>
    <w:rsid w:val="00FA2D8C"/>
    <w:rsid w:val="00FB4814"/>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2D573D38"/>
  <w15:docId w15:val="{2FAED6B1-CD1B-A74A-B809-A60C42993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F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60"/>
      <w:outlineLvl w:val="0"/>
    </w:pPr>
    <w:rPr>
      <w:b/>
      <w:bCs/>
      <w:color w:val="1A1A1A"/>
      <w:sz w:val="44"/>
      <w:szCs w:val="44"/>
    </w:rPr>
  </w:style>
  <w:style w:type="paragraph" w:styleId="Heading2">
    <w:name w:val="heading 2"/>
    <w:uiPriority w:val="9"/>
    <w:unhideWhenUsed/>
    <w:qFormat/>
    <w:pPr>
      <w:spacing w:before="280" w:after="120"/>
      <w:outlineLvl w:val="1"/>
    </w:pPr>
    <w:rPr>
      <w:b/>
      <w:bCs/>
      <w:color w:val="1A1A1A"/>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FB4814"/>
    <w:rPr>
      <w:color w:val="605E5C"/>
      <w:shd w:val="clear" w:color="auto" w:fill="E1DFDD"/>
    </w:rPr>
  </w:style>
  <w:style w:type="paragraph" w:styleId="Header">
    <w:name w:val="header"/>
    <w:basedOn w:val="Normal"/>
    <w:link w:val="HeaderChar"/>
    <w:uiPriority w:val="99"/>
    <w:unhideWhenUsed/>
    <w:rsid w:val="00FA2D8C"/>
    <w:pPr>
      <w:tabs>
        <w:tab w:val="center" w:pos="4513"/>
        <w:tab w:val="right" w:pos="9026"/>
      </w:tabs>
    </w:pPr>
  </w:style>
  <w:style w:type="character" w:customStyle="1" w:styleId="HeaderChar">
    <w:name w:val="Header Char"/>
    <w:basedOn w:val="DefaultParagraphFont"/>
    <w:link w:val="Header"/>
    <w:uiPriority w:val="99"/>
    <w:rsid w:val="00FA2D8C"/>
  </w:style>
  <w:style w:type="paragraph" w:styleId="Footer">
    <w:name w:val="footer"/>
    <w:basedOn w:val="Normal"/>
    <w:link w:val="FooterChar"/>
    <w:uiPriority w:val="99"/>
    <w:unhideWhenUsed/>
    <w:rsid w:val="00FA2D8C"/>
    <w:pPr>
      <w:tabs>
        <w:tab w:val="center" w:pos="4513"/>
        <w:tab w:val="right" w:pos="9026"/>
      </w:tabs>
    </w:pPr>
  </w:style>
  <w:style w:type="character" w:customStyle="1" w:styleId="FooterChar">
    <w:name w:val="Footer Char"/>
    <w:basedOn w:val="DefaultParagraphFont"/>
    <w:link w:val="Footer"/>
    <w:uiPriority w:val="99"/>
    <w:rsid w:val="00FA2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ste.co.uk/book.php?id=2359"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odigital.fr/xvaluator/"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terviewfrancophone.net/xvaluator-investisseur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nterviewfrancophone.net/_files/ugd/53b505_68d9ed14b4864cb1832d9f73840dcd0c.pdf" TargetMode="External"/><Relationship Id="rId4" Type="http://schemas.openxmlformats.org/officeDocument/2006/relationships/webSettings" Target="webSettings.xml"/><Relationship Id="rId9" Type="http://schemas.openxmlformats.org/officeDocument/2006/relationships/hyperlink" Target="https://www.confiance-numerique.fr/wp-content/uploads/2026/06/Observatoire-ACN-2026-de-la-confiance-numerique-bd.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1786</Words>
  <Characters>10901</Characters>
  <Application>Microsoft Office Word</Application>
  <DocSecurity>0</DocSecurity>
  <Lines>302</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Florin-Calin Paun</cp:lastModifiedBy>
  <cp:revision>4</cp:revision>
  <dcterms:created xsi:type="dcterms:W3CDTF">2026-06-05T10:05:00Z</dcterms:created>
  <dcterms:modified xsi:type="dcterms:W3CDTF">2026-06-05T10:31:00Z</dcterms:modified>
</cp:coreProperties>
</file>